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25C88" w:rsidRDefault="00A25C88" w:rsidP="00A25C88">
      <w:pPr>
        <w:jc w:val="center"/>
      </w:pPr>
      <w:r>
        <w:rPr>
          <w:rFonts w:ascii="UkrainianBaltica" w:hAnsi="UkrainianBaltica"/>
          <w:noProof/>
          <w:color w:val="FFFFFF"/>
          <w:lang w:val="uk-UA" w:eastAsia="uk-UA"/>
        </w:rPr>
        <w:drawing>
          <wp:inline distT="0" distB="0" distL="0" distR="0">
            <wp:extent cx="476250" cy="6032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6250" cy="603250"/>
                    </a:xfrm>
                    <a:prstGeom prst="rect">
                      <a:avLst/>
                    </a:prstGeom>
                    <a:solidFill>
                      <a:srgbClr val="FFFFFF"/>
                    </a:solidFill>
                    <a:ln w="9525">
                      <a:noFill/>
                      <a:miter lim="800000"/>
                      <a:headEnd/>
                      <a:tailEnd/>
                    </a:ln>
                  </pic:spPr>
                </pic:pic>
              </a:graphicData>
            </a:graphic>
          </wp:inline>
        </w:drawing>
      </w:r>
    </w:p>
    <w:p w:rsidR="00A25C88" w:rsidRDefault="00A25C88" w:rsidP="00A25C88">
      <w:pPr>
        <w:jc w:val="center"/>
        <w:rPr>
          <w:b/>
          <w:sz w:val="32"/>
          <w:szCs w:val="32"/>
          <w:lang w:val="en-US"/>
        </w:rPr>
      </w:pPr>
    </w:p>
    <w:p w:rsidR="00A25C88" w:rsidRDefault="00A25C88" w:rsidP="00A25C88">
      <w:pPr>
        <w:jc w:val="center"/>
        <w:rPr>
          <w:b/>
          <w:sz w:val="32"/>
          <w:szCs w:val="32"/>
        </w:rPr>
      </w:pPr>
      <w:r>
        <w:rPr>
          <w:b/>
          <w:sz w:val="32"/>
          <w:szCs w:val="32"/>
        </w:rPr>
        <w:t>ДЕРЖАВНА КАЗНАЧЕЙСЬКА СЛУЖБА УКРАЇНИ</w:t>
      </w:r>
    </w:p>
    <w:p w:rsidR="00A25C88" w:rsidRDefault="00A25C88" w:rsidP="00A25C88">
      <w:pPr>
        <w:jc w:val="center"/>
        <w:rPr>
          <w:b/>
          <w:sz w:val="36"/>
          <w:szCs w:val="36"/>
        </w:rPr>
      </w:pPr>
      <w:r>
        <w:rPr>
          <w:b/>
          <w:sz w:val="36"/>
          <w:szCs w:val="36"/>
        </w:rPr>
        <w:t xml:space="preserve">Н А К А </w:t>
      </w:r>
      <w:proofErr w:type="gramStart"/>
      <w:r>
        <w:rPr>
          <w:b/>
          <w:sz w:val="36"/>
          <w:szCs w:val="36"/>
        </w:rPr>
        <w:t>З</w:t>
      </w:r>
      <w:proofErr w:type="gramEnd"/>
    </w:p>
    <w:p w:rsidR="00A25C88" w:rsidRPr="001B26E8" w:rsidRDefault="00A25C88" w:rsidP="00A25C88">
      <w:pPr>
        <w:rPr>
          <w:sz w:val="28"/>
          <w:szCs w:val="28"/>
          <w:lang w:val="uk-UA"/>
        </w:rPr>
      </w:pPr>
      <w:r>
        <w:rPr>
          <w:sz w:val="28"/>
          <w:szCs w:val="28"/>
          <w:lang w:val="en-US"/>
        </w:rPr>
        <w:t>02</w:t>
      </w:r>
      <w:r>
        <w:rPr>
          <w:sz w:val="28"/>
          <w:szCs w:val="28"/>
        </w:rPr>
        <w:t>.</w:t>
      </w:r>
      <w:r>
        <w:rPr>
          <w:sz w:val="28"/>
          <w:szCs w:val="28"/>
          <w:lang w:val="en-US"/>
        </w:rPr>
        <w:t>11</w:t>
      </w:r>
      <w:r>
        <w:rPr>
          <w:sz w:val="28"/>
          <w:szCs w:val="28"/>
        </w:rPr>
        <w:t>.20</w:t>
      </w:r>
      <w:r>
        <w:rPr>
          <w:sz w:val="28"/>
          <w:szCs w:val="28"/>
          <w:lang w:val="en-US"/>
        </w:rPr>
        <w:t>22</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lang w:val="en-US"/>
        </w:rPr>
        <w:t xml:space="preserve">         </w:t>
      </w:r>
      <w:r>
        <w:rPr>
          <w:sz w:val="28"/>
          <w:szCs w:val="28"/>
        </w:rPr>
        <w:t xml:space="preserve">           №</w:t>
      </w:r>
      <w:r>
        <w:rPr>
          <w:sz w:val="28"/>
          <w:szCs w:val="28"/>
          <w:lang w:val="en-US"/>
        </w:rPr>
        <w:t xml:space="preserve"> 327</w:t>
      </w:r>
    </w:p>
    <w:p w:rsidR="00A25C88" w:rsidRDefault="00A25C88" w:rsidP="00A25C88">
      <w:pPr>
        <w:jc w:val="center"/>
        <w:rPr>
          <w:sz w:val="28"/>
          <w:lang w:val="uk-UA"/>
        </w:rPr>
      </w:pPr>
    </w:p>
    <w:p w:rsidR="00590C49" w:rsidRDefault="00A25C88" w:rsidP="00A25C88">
      <w:pPr>
        <w:jc w:val="center"/>
        <w:rPr>
          <w:rFonts w:ascii="UkrainianBaltica" w:hAnsi="UkrainianBaltica"/>
          <w:color w:val="FFFFFF"/>
          <w:lang w:val="en-US"/>
        </w:rPr>
      </w:pPr>
      <w:proofErr w:type="spellStart"/>
      <w:r>
        <w:rPr>
          <w:sz w:val="28"/>
        </w:rPr>
        <w:t>Киї</w:t>
      </w:r>
      <w:proofErr w:type="gramStart"/>
      <w:r>
        <w:rPr>
          <w:sz w:val="28"/>
        </w:rPr>
        <w:t>в</w:t>
      </w:r>
      <w:proofErr w:type="spellEnd"/>
      <w:proofErr w:type="gramEnd"/>
    </w:p>
    <w:p w:rsidR="00C72277" w:rsidRDefault="00C72277" w:rsidP="007D18F9">
      <w:pPr>
        <w:rPr>
          <w:rFonts w:ascii="UkrainianBaltica" w:hAnsi="UkrainianBaltica"/>
          <w:color w:val="FFFFFF"/>
          <w:lang w:val="en-US"/>
        </w:rPr>
      </w:pPr>
    </w:p>
    <w:p w:rsidR="00DF1E45" w:rsidRDefault="00DF1E45" w:rsidP="007D18F9">
      <w:pPr>
        <w:rPr>
          <w:rFonts w:ascii="UkrainianBaltica" w:hAnsi="UkrainianBaltica"/>
          <w:color w:val="FFFFFF"/>
          <w:lang w:val="en-US"/>
        </w:rPr>
      </w:pPr>
    </w:p>
    <w:p w:rsidR="00A25C88" w:rsidRPr="000E0825" w:rsidRDefault="00A25C88" w:rsidP="007D18F9">
      <w:pPr>
        <w:rPr>
          <w:rFonts w:ascii="UkrainianBaltica" w:hAnsi="UkrainianBaltica"/>
          <w:color w:val="FFFFFF"/>
          <w:lang w:val="uk-UA"/>
        </w:rPr>
      </w:pPr>
    </w:p>
    <w:p w:rsidR="001D1197" w:rsidRPr="001D1197" w:rsidRDefault="001D1197" w:rsidP="00E90693">
      <w:pPr>
        <w:jc w:val="center"/>
        <w:rPr>
          <w:rFonts w:ascii="UkrainianBaltica" w:hAnsi="UkrainianBaltica"/>
          <w:color w:val="FFFFFF"/>
          <w:lang w:val="uk-UA"/>
        </w:rPr>
      </w:pPr>
    </w:p>
    <w:tbl>
      <w:tblPr>
        <w:tblW w:w="0" w:type="auto"/>
        <w:tblLayout w:type="fixed"/>
        <w:tblLook w:val="0000"/>
      </w:tblPr>
      <w:tblGrid>
        <w:gridCol w:w="4987"/>
      </w:tblGrid>
      <w:tr w:rsidR="0073012C" w:rsidRPr="00DE3EEE" w:rsidTr="006F0449">
        <w:trPr>
          <w:trHeight w:val="1150"/>
        </w:trPr>
        <w:tc>
          <w:tcPr>
            <w:tcW w:w="4987" w:type="dxa"/>
            <w:shd w:val="clear" w:color="auto" w:fill="auto"/>
          </w:tcPr>
          <w:p w:rsidR="006F0449" w:rsidRPr="006F0449" w:rsidRDefault="00B5494B" w:rsidP="00D22A19">
            <w:pPr>
              <w:jc w:val="both"/>
              <w:rPr>
                <w:sz w:val="28"/>
                <w:szCs w:val="28"/>
              </w:rPr>
            </w:pPr>
            <w:r w:rsidRPr="006F0449">
              <w:rPr>
                <w:sz w:val="28"/>
                <w:szCs w:val="28"/>
              </w:rPr>
              <w:t xml:space="preserve">Про </w:t>
            </w:r>
            <w:proofErr w:type="spellStart"/>
            <w:r w:rsidRPr="006F0449">
              <w:rPr>
                <w:sz w:val="28"/>
                <w:szCs w:val="28"/>
              </w:rPr>
              <w:t>затвердження</w:t>
            </w:r>
            <w:proofErr w:type="spellEnd"/>
            <w:r w:rsidRPr="006F0449">
              <w:rPr>
                <w:sz w:val="28"/>
                <w:szCs w:val="28"/>
              </w:rPr>
              <w:t xml:space="preserve"> </w:t>
            </w:r>
            <w:proofErr w:type="spellStart"/>
            <w:r w:rsidRPr="006F0449">
              <w:rPr>
                <w:sz w:val="28"/>
                <w:szCs w:val="28"/>
              </w:rPr>
              <w:t>Змін</w:t>
            </w:r>
            <w:proofErr w:type="spellEnd"/>
            <w:r w:rsidRPr="006F0449">
              <w:rPr>
                <w:sz w:val="28"/>
                <w:szCs w:val="28"/>
              </w:rPr>
              <w:t xml:space="preserve"> до </w:t>
            </w:r>
            <w:proofErr w:type="spellStart"/>
            <w:r w:rsidRPr="006F0449">
              <w:rPr>
                <w:sz w:val="28"/>
                <w:szCs w:val="28"/>
              </w:rPr>
              <w:t>деяких</w:t>
            </w:r>
            <w:proofErr w:type="spellEnd"/>
            <w:r w:rsidRPr="006F0449">
              <w:rPr>
                <w:sz w:val="28"/>
                <w:szCs w:val="28"/>
              </w:rPr>
              <w:t xml:space="preserve"> </w:t>
            </w:r>
            <w:r>
              <w:rPr>
                <w:sz w:val="28"/>
                <w:szCs w:val="28"/>
                <w:lang w:val="uk-UA"/>
              </w:rPr>
              <w:t>наказів</w:t>
            </w:r>
            <w:proofErr w:type="gramStart"/>
            <w:r w:rsidRPr="006F0449">
              <w:rPr>
                <w:sz w:val="28"/>
                <w:szCs w:val="28"/>
              </w:rPr>
              <w:t xml:space="preserve"> </w:t>
            </w:r>
            <w:proofErr w:type="spellStart"/>
            <w:r w:rsidRPr="006F0449">
              <w:rPr>
                <w:sz w:val="28"/>
                <w:szCs w:val="28"/>
              </w:rPr>
              <w:t>Д</w:t>
            </w:r>
            <w:proofErr w:type="gramEnd"/>
            <w:r w:rsidRPr="006F0449">
              <w:rPr>
                <w:sz w:val="28"/>
                <w:szCs w:val="28"/>
              </w:rPr>
              <w:t>ержавної</w:t>
            </w:r>
            <w:proofErr w:type="spellEnd"/>
            <w:r w:rsidRPr="006F0449">
              <w:rPr>
                <w:sz w:val="28"/>
                <w:szCs w:val="28"/>
              </w:rPr>
              <w:t xml:space="preserve"> </w:t>
            </w:r>
            <w:proofErr w:type="spellStart"/>
            <w:r w:rsidRPr="006F0449">
              <w:rPr>
                <w:sz w:val="28"/>
                <w:szCs w:val="28"/>
              </w:rPr>
              <w:t>казначейської</w:t>
            </w:r>
            <w:proofErr w:type="spellEnd"/>
            <w:r w:rsidRPr="006F0449">
              <w:rPr>
                <w:sz w:val="28"/>
                <w:szCs w:val="28"/>
              </w:rPr>
              <w:t xml:space="preserve"> </w:t>
            </w:r>
            <w:proofErr w:type="spellStart"/>
            <w:r w:rsidRPr="006F0449">
              <w:rPr>
                <w:sz w:val="28"/>
                <w:szCs w:val="28"/>
              </w:rPr>
              <w:t>служби</w:t>
            </w:r>
            <w:proofErr w:type="spellEnd"/>
            <w:r w:rsidRPr="006F0449">
              <w:rPr>
                <w:sz w:val="28"/>
                <w:szCs w:val="28"/>
              </w:rPr>
              <w:t xml:space="preserve"> </w:t>
            </w:r>
            <w:proofErr w:type="spellStart"/>
            <w:r w:rsidRPr="006F0449">
              <w:rPr>
                <w:sz w:val="28"/>
                <w:szCs w:val="28"/>
              </w:rPr>
              <w:t>України</w:t>
            </w:r>
            <w:proofErr w:type="spellEnd"/>
          </w:p>
        </w:tc>
      </w:tr>
    </w:tbl>
    <w:p w:rsidR="0006206B" w:rsidRPr="003513A8" w:rsidRDefault="0006206B" w:rsidP="00846ECB">
      <w:pPr>
        <w:ind w:right="-82"/>
        <w:jc w:val="both"/>
        <w:rPr>
          <w:bCs/>
          <w:sz w:val="28"/>
          <w:szCs w:val="28"/>
        </w:rPr>
      </w:pPr>
    </w:p>
    <w:p w:rsidR="0006206B" w:rsidRPr="00D65133" w:rsidRDefault="008B6BC3" w:rsidP="00D65133">
      <w:pPr>
        <w:pStyle w:val="af"/>
        <w:spacing w:line="240" w:lineRule="auto"/>
        <w:rPr>
          <w:bCs/>
          <w:szCs w:val="28"/>
        </w:rPr>
      </w:pPr>
      <w:r w:rsidRPr="00B4528B">
        <w:rPr>
          <w:bCs/>
          <w:szCs w:val="28"/>
        </w:rPr>
        <w:t xml:space="preserve">Відповідно до </w:t>
      </w:r>
      <w:r w:rsidR="000E0825" w:rsidRPr="008B6BC3">
        <w:rPr>
          <w:bCs/>
          <w:szCs w:val="28"/>
        </w:rPr>
        <w:t>Бюджетного</w:t>
      </w:r>
      <w:r w:rsidR="000E0825">
        <w:rPr>
          <w:bCs/>
          <w:szCs w:val="28"/>
        </w:rPr>
        <w:t xml:space="preserve"> кодексу України та</w:t>
      </w:r>
      <w:r w:rsidR="003825C1">
        <w:rPr>
          <w:bCs/>
          <w:szCs w:val="28"/>
        </w:rPr>
        <w:t xml:space="preserve"> н</w:t>
      </w:r>
      <w:r w:rsidR="00091191" w:rsidRPr="004A01E2">
        <w:rPr>
          <w:bCs/>
          <w:szCs w:val="28"/>
        </w:rPr>
        <w:t>аказ</w:t>
      </w:r>
      <w:r w:rsidR="008600FE" w:rsidRPr="008600FE">
        <w:rPr>
          <w:bCs/>
          <w:szCs w:val="28"/>
        </w:rPr>
        <w:t>ів</w:t>
      </w:r>
      <w:r w:rsidR="004A01E2" w:rsidRPr="004A01E2">
        <w:rPr>
          <w:bCs/>
          <w:szCs w:val="28"/>
        </w:rPr>
        <w:t xml:space="preserve"> </w:t>
      </w:r>
      <w:r w:rsidR="00091191" w:rsidRPr="004A01E2">
        <w:rPr>
          <w:bCs/>
          <w:szCs w:val="28"/>
        </w:rPr>
        <w:t xml:space="preserve">Міністерства фінансів України </w:t>
      </w:r>
      <w:r w:rsidR="00846ECB">
        <w:rPr>
          <w:szCs w:val="28"/>
        </w:rPr>
        <w:t xml:space="preserve">від </w:t>
      </w:r>
      <w:r w:rsidR="00391B5C">
        <w:rPr>
          <w:szCs w:val="28"/>
        </w:rPr>
        <w:t>0</w:t>
      </w:r>
      <w:r w:rsidR="0006206B">
        <w:rPr>
          <w:szCs w:val="28"/>
        </w:rPr>
        <w:t>3</w:t>
      </w:r>
      <w:r w:rsidR="00391B5C">
        <w:rPr>
          <w:szCs w:val="28"/>
        </w:rPr>
        <w:t xml:space="preserve"> </w:t>
      </w:r>
      <w:r w:rsidR="00DF1E45">
        <w:rPr>
          <w:szCs w:val="28"/>
        </w:rPr>
        <w:t>жовтня</w:t>
      </w:r>
      <w:r w:rsidR="0006206B">
        <w:rPr>
          <w:szCs w:val="28"/>
        </w:rPr>
        <w:t xml:space="preserve"> </w:t>
      </w:r>
      <w:r w:rsidR="00846ECB" w:rsidRPr="001C7C89">
        <w:rPr>
          <w:szCs w:val="28"/>
        </w:rPr>
        <w:t>20</w:t>
      </w:r>
      <w:r w:rsidR="00846ECB">
        <w:rPr>
          <w:szCs w:val="28"/>
        </w:rPr>
        <w:t>22</w:t>
      </w:r>
      <w:r w:rsidR="00846ECB" w:rsidRPr="001C7C89">
        <w:rPr>
          <w:szCs w:val="28"/>
        </w:rPr>
        <w:t xml:space="preserve"> року № </w:t>
      </w:r>
      <w:r w:rsidR="00DF1E45">
        <w:rPr>
          <w:szCs w:val="28"/>
        </w:rPr>
        <w:t>313</w:t>
      </w:r>
      <w:r w:rsidR="00EA6E51">
        <w:rPr>
          <w:szCs w:val="28"/>
        </w:rPr>
        <w:t xml:space="preserve"> «Про </w:t>
      </w:r>
      <w:r w:rsidR="00DF1E45">
        <w:rPr>
          <w:szCs w:val="28"/>
        </w:rPr>
        <w:t>затвердження Змін до бюджетної класифікації</w:t>
      </w:r>
      <w:r w:rsidR="00EA6E51">
        <w:rPr>
          <w:szCs w:val="28"/>
        </w:rPr>
        <w:t>»</w:t>
      </w:r>
      <w:r w:rsidR="008600FE">
        <w:rPr>
          <w:szCs w:val="28"/>
        </w:rPr>
        <w:t xml:space="preserve">, від 24 жовтня </w:t>
      </w:r>
      <w:r w:rsidR="008600FE" w:rsidRPr="001C7C89">
        <w:rPr>
          <w:szCs w:val="28"/>
        </w:rPr>
        <w:t>20</w:t>
      </w:r>
      <w:r w:rsidR="008600FE">
        <w:rPr>
          <w:szCs w:val="28"/>
        </w:rPr>
        <w:t>22</w:t>
      </w:r>
      <w:r w:rsidR="008600FE" w:rsidRPr="001C7C89">
        <w:rPr>
          <w:szCs w:val="28"/>
        </w:rPr>
        <w:t xml:space="preserve"> року № </w:t>
      </w:r>
      <w:r w:rsidR="008600FE">
        <w:rPr>
          <w:szCs w:val="28"/>
        </w:rPr>
        <w:t xml:space="preserve">344 «Про внесення змін до </w:t>
      </w:r>
      <w:r w:rsidR="00053F83">
        <w:rPr>
          <w:szCs w:val="28"/>
        </w:rPr>
        <w:t>К</w:t>
      </w:r>
      <w:r w:rsidR="008600FE">
        <w:rPr>
          <w:szCs w:val="28"/>
        </w:rPr>
        <w:t xml:space="preserve">ласифікації доходів бюджету» та від 27 жовтня </w:t>
      </w:r>
      <w:r w:rsidR="008600FE" w:rsidRPr="001C7C89">
        <w:rPr>
          <w:szCs w:val="28"/>
        </w:rPr>
        <w:t>20</w:t>
      </w:r>
      <w:r w:rsidR="008600FE">
        <w:rPr>
          <w:szCs w:val="28"/>
        </w:rPr>
        <w:t>22</w:t>
      </w:r>
      <w:r w:rsidR="008600FE" w:rsidRPr="001C7C89">
        <w:rPr>
          <w:szCs w:val="28"/>
        </w:rPr>
        <w:t xml:space="preserve"> року № </w:t>
      </w:r>
      <w:r w:rsidR="008600FE">
        <w:rPr>
          <w:szCs w:val="28"/>
        </w:rPr>
        <w:t>350 «Про внесення змін до Типової програмної класифікації видатків та кредитування місцев</w:t>
      </w:r>
      <w:r w:rsidR="00053F83">
        <w:rPr>
          <w:szCs w:val="28"/>
        </w:rPr>
        <w:t>ого</w:t>
      </w:r>
      <w:r w:rsidR="008600FE">
        <w:rPr>
          <w:szCs w:val="28"/>
        </w:rPr>
        <w:t xml:space="preserve"> бюджет</w:t>
      </w:r>
      <w:r w:rsidR="00053F83">
        <w:rPr>
          <w:szCs w:val="28"/>
        </w:rPr>
        <w:t>у</w:t>
      </w:r>
      <w:r w:rsidR="008600FE">
        <w:rPr>
          <w:szCs w:val="28"/>
        </w:rPr>
        <w:t>»</w:t>
      </w:r>
    </w:p>
    <w:p w:rsidR="000D223A" w:rsidRPr="000D223A" w:rsidRDefault="000D223A" w:rsidP="000D223A">
      <w:pPr>
        <w:pStyle w:val="af"/>
        <w:spacing w:line="240" w:lineRule="auto"/>
        <w:rPr>
          <w:bCs/>
          <w:szCs w:val="28"/>
        </w:rPr>
      </w:pPr>
    </w:p>
    <w:p w:rsidR="0073012C" w:rsidRPr="004A01E2" w:rsidRDefault="0073012C" w:rsidP="006A2C0A">
      <w:pPr>
        <w:pStyle w:val="a8"/>
        <w:jc w:val="both"/>
        <w:rPr>
          <w:b/>
          <w:bCs/>
          <w:sz w:val="28"/>
          <w:szCs w:val="28"/>
          <w:lang w:val="uk-UA"/>
        </w:rPr>
      </w:pPr>
      <w:r>
        <w:rPr>
          <w:b/>
          <w:bCs/>
          <w:sz w:val="28"/>
          <w:szCs w:val="28"/>
          <w:lang w:val="uk-UA"/>
        </w:rPr>
        <w:t>НАКАЗУЮ:</w:t>
      </w:r>
    </w:p>
    <w:p w:rsidR="0006206B" w:rsidRPr="004A01E2" w:rsidRDefault="0006206B" w:rsidP="006A2C0A">
      <w:pPr>
        <w:pStyle w:val="a8"/>
        <w:jc w:val="both"/>
        <w:rPr>
          <w:b/>
          <w:bCs/>
          <w:sz w:val="28"/>
          <w:szCs w:val="28"/>
          <w:lang w:val="uk-UA"/>
        </w:rPr>
      </w:pPr>
    </w:p>
    <w:p w:rsidR="00091191" w:rsidRPr="00620379" w:rsidRDefault="00091191" w:rsidP="00091191">
      <w:pPr>
        <w:pStyle w:val="a8"/>
        <w:ind w:firstLine="709"/>
        <w:jc w:val="both"/>
        <w:rPr>
          <w:bCs/>
          <w:sz w:val="28"/>
          <w:szCs w:val="28"/>
          <w:lang w:val="uk-UA"/>
        </w:rPr>
      </w:pPr>
      <w:r>
        <w:rPr>
          <w:rFonts w:eastAsia="Times New Roman"/>
          <w:bCs/>
          <w:sz w:val="28"/>
          <w:szCs w:val="28"/>
          <w:lang w:val="uk-UA"/>
        </w:rPr>
        <w:t xml:space="preserve">1. </w:t>
      </w:r>
      <w:r w:rsidRPr="009476EB">
        <w:rPr>
          <w:rFonts w:eastAsia="Times New Roman"/>
          <w:bCs/>
          <w:sz w:val="28"/>
          <w:szCs w:val="28"/>
          <w:lang w:val="uk-UA"/>
        </w:rPr>
        <w:t xml:space="preserve">Затвердити Зміни до </w:t>
      </w:r>
      <w:proofErr w:type="spellStart"/>
      <w:r w:rsidR="0049172F" w:rsidRPr="006F0449">
        <w:rPr>
          <w:sz w:val="28"/>
          <w:szCs w:val="28"/>
        </w:rPr>
        <w:t>деяких</w:t>
      </w:r>
      <w:proofErr w:type="spellEnd"/>
      <w:r w:rsidR="0049172F" w:rsidRPr="006F0449">
        <w:rPr>
          <w:sz w:val="28"/>
          <w:szCs w:val="28"/>
        </w:rPr>
        <w:t xml:space="preserve"> </w:t>
      </w:r>
      <w:r w:rsidR="0049172F">
        <w:rPr>
          <w:sz w:val="28"/>
          <w:szCs w:val="28"/>
          <w:lang w:val="uk-UA"/>
        </w:rPr>
        <w:t>наказів</w:t>
      </w:r>
      <w:r w:rsidR="0049172F" w:rsidRPr="006F0449">
        <w:rPr>
          <w:sz w:val="28"/>
          <w:szCs w:val="28"/>
        </w:rPr>
        <w:t xml:space="preserve"> </w:t>
      </w:r>
      <w:proofErr w:type="spellStart"/>
      <w:r w:rsidR="0049172F" w:rsidRPr="006F0449">
        <w:rPr>
          <w:sz w:val="28"/>
          <w:szCs w:val="28"/>
        </w:rPr>
        <w:t>Державної</w:t>
      </w:r>
      <w:proofErr w:type="spellEnd"/>
      <w:r w:rsidR="0049172F" w:rsidRPr="006F0449">
        <w:rPr>
          <w:sz w:val="28"/>
          <w:szCs w:val="28"/>
        </w:rPr>
        <w:t xml:space="preserve"> </w:t>
      </w:r>
      <w:proofErr w:type="spellStart"/>
      <w:r w:rsidR="0049172F" w:rsidRPr="006F0449">
        <w:rPr>
          <w:sz w:val="28"/>
          <w:szCs w:val="28"/>
        </w:rPr>
        <w:t>казначейської</w:t>
      </w:r>
      <w:proofErr w:type="spellEnd"/>
      <w:r w:rsidR="0049172F" w:rsidRPr="006F0449">
        <w:rPr>
          <w:sz w:val="28"/>
          <w:szCs w:val="28"/>
        </w:rPr>
        <w:t xml:space="preserve"> </w:t>
      </w:r>
      <w:proofErr w:type="spellStart"/>
      <w:r w:rsidR="0049172F" w:rsidRPr="006F0449">
        <w:rPr>
          <w:sz w:val="28"/>
          <w:szCs w:val="28"/>
        </w:rPr>
        <w:t>служби</w:t>
      </w:r>
      <w:proofErr w:type="spellEnd"/>
      <w:r w:rsidR="0049172F" w:rsidRPr="006F0449">
        <w:rPr>
          <w:sz w:val="28"/>
          <w:szCs w:val="28"/>
        </w:rPr>
        <w:t xml:space="preserve"> </w:t>
      </w:r>
      <w:proofErr w:type="spellStart"/>
      <w:r w:rsidR="0049172F" w:rsidRPr="006F0449">
        <w:rPr>
          <w:sz w:val="28"/>
          <w:szCs w:val="28"/>
        </w:rPr>
        <w:t>України</w:t>
      </w:r>
      <w:proofErr w:type="spellEnd"/>
      <w:r w:rsidR="0049172F">
        <w:rPr>
          <w:sz w:val="28"/>
          <w:szCs w:val="28"/>
          <w:lang w:val="uk-UA"/>
        </w:rPr>
        <w:t xml:space="preserve"> </w:t>
      </w:r>
      <w:r w:rsidR="003F282B">
        <w:rPr>
          <w:sz w:val="28"/>
          <w:szCs w:val="28"/>
          <w:lang w:val="uk-UA"/>
        </w:rPr>
        <w:t xml:space="preserve">(далі – Зміни), </w:t>
      </w:r>
      <w:r>
        <w:rPr>
          <w:sz w:val="28"/>
          <w:szCs w:val="28"/>
          <w:lang w:val="uk-UA"/>
        </w:rPr>
        <w:t>що додаються.</w:t>
      </w:r>
    </w:p>
    <w:p w:rsidR="0014034F" w:rsidRDefault="0014034F" w:rsidP="008320CB">
      <w:pPr>
        <w:pStyle w:val="a8"/>
        <w:jc w:val="both"/>
        <w:rPr>
          <w:sz w:val="28"/>
          <w:szCs w:val="28"/>
          <w:lang w:val="uk-UA"/>
        </w:rPr>
      </w:pPr>
    </w:p>
    <w:p w:rsidR="00620379" w:rsidRDefault="00446E15" w:rsidP="00D91D11">
      <w:pPr>
        <w:pStyle w:val="a8"/>
        <w:ind w:firstLine="709"/>
        <w:jc w:val="both"/>
        <w:rPr>
          <w:bCs/>
          <w:sz w:val="28"/>
          <w:szCs w:val="28"/>
          <w:lang w:val="uk-UA"/>
        </w:rPr>
      </w:pPr>
      <w:r>
        <w:rPr>
          <w:sz w:val="28"/>
          <w:szCs w:val="28"/>
          <w:lang w:val="uk-UA"/>
        </w:rPr>
        <w:t>2</w:t>
      </w:r>
      <w:r w:rsidR="00C92ADB">
        <w:rPr>
          <w:sz w:val="28"/>
          <w:szCs w:val="28"/>
          <w:lang w:val="uk-UA"/>
        </w:rPr>
        <w:t xml:space="preserve">. </w:t>
      </w:r>
      <w:r w:rsidR="00620379">
        <w:rPr>
          <w:sz w:val="28"/>
          <w:szCs w:val="28"/>
          <w:lang w:val="uk-UA"/>
        </w:rPr>
        <w:t xml:space="preserve">Органам Державної казначейської служби України складати і подавати місячну, квартальну та річну звітність </w:t>
      </w:r>
      <w:r w:rsidR="00620379">
        <w:rPr>
          <w:bCs/>
          <w:sz w:val="28"/>
          <w:szCs w:val="28"/>
          <w:lang w:val="uk-UA"/>
        </w:rPr>
        <w:t xml:space="preserve">про виконання </w:t>
      </w:r>
      <w:r w:rsidR="00B65A25">
        <w:rPr>
          <w:bCs/>
          <w:sz w:val="28"/>
          <w:szCs w:val="28"/>
          <w:lang w:val="uk-UA"/>
        </w:rPr>
        <w:t xml:space="preserve">державного та </w:t>
      </w:r>
      <w:r w:rsidR="00447584">
        <w:rPr>
          <w:bCs/>
          <w:sz w:val="28"/>
          <w:szCs w:val="28"/>
          <w:lang w:val="uk-UA"/>
        </w:rPr>
        <w:t>місцев</w:t>
      </w:r>
      <w:r w:rsidR="00B65A25">
        <w:rPr>
          <w:bCs/>
          <w:sz w:val="28"/>
          <w:szCs w:val="28"/>
          <w:lang w:val="uk-UA"/>
        </w:rPr>
        <w:t>их</w:t>
      </w:r>
      <w:r w:rsidR="00190D37">
        <w:rPr>
          <w:bCs/>
          <w:sz w:val="28"/>
          <w:szCs w:val="28"/>
          <w:lang w:val="uk-UA"/>
        </w:rPr>
        <w:t xml:space="preserve"> бюджет</w:t>
      </w:r>
      <w:r w:rsidR="00B65A25">
        <w:rPr>
          <w:bCs/>
          <w:sz w:val="28"/>
          <w:szCs w:val="28"/>
          <w:lang w:val="uk-UA"/>
        </w:rPr>
        <w:t>ів</w:t>
      </w:r>
      <w:r w:rsidR="00190D37">
        <w:rPr>
          <w:bCs/>
          <w:sz w:val="28"/>
          <w:szCs w:val="28"/>
          <w:lang w:val="uk-UA"/>
        </w:rPr>
        <w:t xml:space="preserve"> </w:t>
      </w:r>
      <w:r w:rsidR="00620379">
        <w:rPr>
          <w:bCs/>
          <w:sz w:val="28"/>
          <w:szCs w:val="28"/>
          <w:lang w:val="uk-UA"/>
        </w:rPr>
        <w:t xml:space="preserve">з урахуванням Змін, починаючи зі звіту </w:t>
      </w:r>
      <w:r w:rsidR="00620379" w:rsidRPr="005F369A">
        <w:rPr>
          <w:bCs/>
          <w:sz w:val="28"/>
          <w:szCs w:val="28"/>
          <w:lang w:val="uk-UA"/>
        </w:rPr>
        <w:t xml:space="preserve">за </w:t>
      </w:r>
      <w:r w:rsidR="00A1561C">
        <w:rPr>
          <w:bCs/>
          <w:sz w:val="28"/>
          <w:szCs w:val="28"/>
          <w:lang w:val="uk-UA"/>
        </w:rPr>
        <w:t>жовтень</w:t>
      </w:r>
      <w:r w:rsidR="0084460A" w:rsidRPr="00476C82">
        <w:rPr>
          <w:bCs/>
          <w:sz w:val="28"/>
          <w:szCs w:val="28"/>
          <w:lang w:val="uk-UA"/>
        </w:rPr>
        <w:t xml:space="preserve"> 202</w:t>
      </w:r>
      <w:r w:rsidR="004A01E2">
        <w:rPr>
          <w:bCs/>
          <w:sz w:val="28"/>
          <w:szCs w:val="28"/>
          <w:lang w:val="uk-UA"/>
        </w:rPr>
        <w:t>2</w:t>
      </w:r>
      <w:r w:rsidR="00620379">
        <w:rPr>
          <w:bCs/>
          <w:sz w:val="28"/>
          <w:szCs w:val="28"/>
          <w:lang w:val="uk-UA"/>
        </w:rPr>
        <w:t xml:space="preserve"> року.</w:t>
      </w:r>
    </w:p>
    <w:p w:rsidR="000E0825" w:rsidRPr="00D91D11" w:rsidRDefault="000E0825" w:rsidP="00D91D11">
      <w:pPr>
        <w:pStyle w:val="a8"/>
        <w:ind w:firstLine="709"/>
        <w:jc w:val="both"/>
        <w:rPr>
          <w:bCs/>
          <w:sz w:val="28"/>
          <w:szCs w:val="28"/>
          <w:lang w:val="uk-UA"/>
        </w:rPr>
      </w:pPr>
    </w:p>
    <w:p w:rsidR="0006206B" w:rsidRPr="005F369A" w:rsidRDefault="00446E15" w:rsidP="005F369A">
      <w:pPr>
        <w:ind w:firstLine="709"/>
        <w:jc w:val="both"/>
        <w:rPr>
          <w:bCs/>
          <w:sz w:val="28"/>
          <w:szCs w:val="28"/>
          <w:lang w:val="uk-UA"/>
        </w:rPr>
      </w:pPr>
      <w:r>
        <w:rPr>
          <w:sz w:val="28"/>
          <w:szCs w:val="28"/>
          <w:lang w:val="uk-UA"/>
        </w:rPr>
        <w:t>3</w:t>
      </w:r>
      <w:r w:rsidR="00C92ADB">
        <w:rPr>
          <w:sz w:val="28"/>
          <w:szCs w:val="28"/>
          <w:lang w:val="uk-UA"/>
        </w:rPr>
        <w:t xml:space="preserve">. </w:t>
      </w:r>
      <w:r w:rsidR="00620379">
        <w:rPr>
          <w:sz w:val="28"/>
          <w:szCs w:val="28"/>
          <w:lang w:val="uk-UA"/>
        </w:rPr>
        <w:t>Департаменту консо</w:t>
      </w:r>
      <w:r w:rsidR="0084460A">
        <w:rPr>
          <w:sz w:val="28"/>
          <w:szCs w:val="28"/>
          <w:lang w:val="uk-UA"/>
        </w:rPr>
        <w:t>лідованої звітності (Шамрай</w:t>
      </w:r>
      <w:r w:rsidR="00446071">
        <w:rPr>
          <w:sz w:val="28"/>
          <w:szCs w:val="28"/>
          <w:lang w:val="uk-UA"/>
        </w:rPr>
        <w:t xml:space="preserve"> Галина</w:t>
      </w:r>
      <w:r w:rsidR="00620379">
        <w:rPr>
          <w:sz w:val="28"/>
          <w:szCs w:val="28"/>
          <w:lang w:val="uk-UA"/>
        </w:rPr>
        <w:t xml:space="preserve">) складати і подавати місячну, квартальну та річну звітність 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 урахуванням Змін, </w:t>
      </w:r>
      <w:r w:rsidR="00620379">
        <w:rPr>
          <w:bCs/>
          <w:sz w:val="28"/>
          <w:szCs w:val="28"/>
          <w:lang w:val="uk-UA"/>
        </w:rPr>
        <w:t xml:space="preserve">починаючи зі </w:t>
      </w:r>
      <w:r w:rsidR="00620379" w:rsidRPr="003D3470">
        <w:rPr>
          <w:bCs/>
          <w:sz w:val="28"/>
          <w:szCs w:val="28"/>
          <w:lang w:val="uk-UA"/>
        </w:rPr>
        <w:t xml:space="preserve">звіту </w:t>
      </w:r>
      <w:r w:rsidR="00620379" w:rsidRPr="005F369A">
        <w:rPr>
          <w:bCs/>
          <w:sz w:val="28"/>
          <w:szCs w:val="28"/>
          <w:lang w:val="uk-UA"/>
        </w:rPr>
        <w:t xml:space="preserve">за </w:t>
      </w:r>
      <w:r w:rsidR="00A1561C">
        <w:rPr>
          <w:bCs/>
          <w:sz w:val="28"/>
          <w:szCs w:val="28"/>
          <w:lang w:val="uk-UA"/>
        </w:rPr>
        <w:t>жовтень</w:t>
      </w:r>
      <w:r w:rsidR="006A3C77" w:rsidRPr="003D3470">
        <w:rPr>
          <w:bCs/>
          <w:sz w:val="28"/>
          <w:szCs w:val="28"/>
          <w:lang w:val="uk-UA"/>
        </w:rPr>
        <w:t xml:space="preserve"> 202</w:t>
      </w:r>
      <w:r w:rsidR="004A01E2" w:rsidRPr="003D3470">
        <w:rPr>
          <w:bCs/>
          <w:sz w:val="28"/>
          <w:szCs w:val="28"/>
          <w:lang w:val="uk-UA"/>
        </w:rPr>
        <w:t>2</w:t>
      </w:r>
      <w:r w:rsidR="00620379" w:rsidRPr="003D3470">
        <w:rPr>
          <w:bCs/>
          <w:sz w:val="28"/>
          <w:szCs w:val="28"/>
          <w:lang w:val="uk-UA"/>
        </w:rPr>
        <w:t xml:space="preserve"> року.</w:t>
      </w:r>
    </w:p>
    <w:p w:rsidR="00B65A25" w:rsidRDefault="00B65A25" w:rsidP="00C92ADB">
      <w:pPr>
        <w:pStyle w:val="af"/>
        <w:spacing w:line="200" w:lineRule="atLeast"/>
        <w:ind w:firstLine="709"/>
        <w:rPr>
          <w:szCs w:val="28"/>
        </w:rPr>
      </w:pPr>
    </w:p>
    <w:p w:rsidR="00620379" w:rsidRDefault="00446E15" w:rsidP="00C92ADB">
      <w:pPr>
        <w:pStyle w:val="af"/>
        <w:spacing w:line="200" w:lineRule="atLeast"/>
        <w:ind w:firstLine="709"/>
        <w:rPr>
          <w:szCs w:val="28"/>
        </w:rPr>
      </w:pPr>
      <w:r>
        <w:rPr>
          <w:szCs w:val="28"/>
        </w:rPr>
        <w:t>4</w:t>
      </w:r>
      <w:r w:rsidR="00C92ADB">
        <w:rPr>
          <w:szCs w:val="28"/>
        </w:rPr>
        <w:t xml:space="preserve">. </w:t>
      </w:r>
      <w:r w:rsidR="00620379">
        <w:rPr>
          <w:szCs w:val="28"/>
        </w:rPr>
        <w:t xml:space="preserve">Керівникам самостійних структурних підрозділів Державної казначейської служби України та начальникам </w:t>
      </w:r>
      <w:r w:rsidR="005F369A">
        <w:rPr>
          <w:szCs w:val="28"/>
        </w:rPr>
        <w:t>г</w:t>
      </w:r>
      <w:r w:rsidR="00620379">
        <w:rPr>
          <w:szCs w:val="28"/>
        </w:rPr>
        <w:t>оловних управлінь Державної казначейської служби України</w:t>
      </w:r>
      <w:r w:rsidR="00C92ADB">
        <w:rPr>
          <w:szCs w:val="28"/>
        </w:rPr>
        <w:t xml:space="preserve"> </w:t>
      </w:r>
      <w:r w:rsidR="00C92ADB">
        <w:t>в областях та м. Києві</w:t>
      </w:r>
      <w:r w:rsidR="00620379">
        <w:rPr>
          <w:szCs w:val="28"/>
        </w:rPr>
        <w:t xml:space="preserve"> в межах повноважень здійснити заходи щодо забезпечення виконання вимог цього наказу.</w:t>
      </w:r>
    </w:p>
    <w:p w:rsidR="00620379" w:rsidRDefault="00620379" w:rsidP="00620379">
      <w:pPr>
        <w:pStyle w:val="af1"/>
        <w:rPr>
          <w:sz w:val="28"/>
          <w:szCs w:val="28"/>
          <w:lang w:val="uk-UA"/>
        </w:rPr>
      </w:pPr>
    </w:p>
    <w:p w:rsidR="0049172F" w:rsidRDefault="0049172F" w:rsidP="00620379">
      <w:pPr>
        <w:pStyle w:val="af1"/>
        <w:rPr>
          <w:sz w:val="28"/>
          <w:szCs w:val="28"/>
          <w:lang w:val="uk-UA"/>
        </w:rPr>
      </w:pPr>
    </w:p>
    <w:p w:rsidR="005A4C9F" w:rsidRDefault="00446E15" w:rsidP="00C92ADB">
      <w:pPr>
        <w:pStyle w:val="af"/>
        <w:spacing w:line="200" w:lineRule="atLeast"/>
        <w:ind w:firstLine="709"/>
      </w:pPr>
      <w:r>
        <w:rPr>
          <w:szCs w:val="28"/>
          <w:lang w:val="ru-RU"/>
        </w:rPr>
        <w:t>5</w:t>
      </w:r>
      <w:r w:rsidR="005A4C9F">
        <w:rPr>
          <w:szCs w:val="28"/>
        </w:rPr>
        <w:t xml:space="preserve">. </w:t>
      </w:r>
      <w:r w:rsidR="00620379">
        <w:rPr>
          <w:szCs w:val="28"/>
        </w:rPr>
        <w:t xml:space="preserve">Контроль за виконанням цього наказу покласти на заступників Голови Державної казначейської служби України відповідно до розподілу обов’язків та начальників </w:t>
      </w:r>
      <w:r w:rsidR="005F369A">
        <w:rPr>
          <w:szCs w:val="28"/>
        </w:rPr>
        <w:t>г</w:t>
      </w:r>
      <w:r w:rsidR="00620379">
        <w:rPr>
          <w:szCs w:val="28"/>
        </w:rPr>
        <w:t>оловних управлінь Державної казначейської служби України</w:t>
      </w:r>
      <w:r w:rsidR="005A4C9F">
        <w:rPr>
          <w:szCs w:val="28"/>
        </w:rPr>
        <w:t xml:space="preserve"> </w:t>
      </w:r>
      <w:r w:rsidR="005A4C9F">
        <w:t>в областях та м. Києві.</w:t>
      </w:r>
    </w:p>
    <w:p w:rsidR="00620379" w:rsidRPr="00620379" w:rsidRDefault="00620379" w:rsidP="00620379">
      <w:pPr>
        <w:pStyle w:val="a8"/>
        <w:ind w:left="360"/>
        <w:jc w:val="both"/>
        <w:rPr>
          <w:bCs/>
          <w:sz w:val="28"/>
          <w:szCs w:val="28"/>
          <w:lang w:val="uk-UA"/>
        </w:rPr>
      </w:pPr>
    </w:p>
    <w:p w:rsidR="0073012C" w:rsidRDefault="0073012C">
      <w:pPr>
        <w:tabs>
          <w:tab w:val="left" w:pos="1980"/>
        </w:tabs>
        <w:jc w:val="both"/>
        <w:rPr>
          <w:sz w:val="28"/>
          <w:szCs w:val="28"/>
          <w:lang w:val="uk-UA"/>
        </w:rPr>
      </w:pPr>
    </w:p>
    <w:tbl>
      <w:tblPr>
        <w:tblW w:w="0" w:type="auto"/>
        <w:tblLayout w:type="fixed"/>
        <w:tblLook w:val="0000"/>
      </w:tblPr>
      <w:tblGrid>
        <w:gridCol w:w="4779"/>
        <w:gridCol w:w="5049"/>
      </w:tblGrid>
      <w:tr w:rsidR="00923631" w:rsidTr="00C0509F">
        <w:tc>
          <w:tcPr>
            <w:tcW w:w="4779" w:type="dxa"/>
            <w:shd w:val="clear" w:color="auto" w:fill="auto"/>
          </w:tcPr>
          <w:p w:rsidR="00923631" w:rsidRPr="005A4C9F" w:rsidRDefault="00923631" w:rsidP="00C0509F">
            <w:pPr>
              <w:snapToGrid w:val="0"/>
              <w:jc w:val="both"/>
              <w:rPr>
                <w:b/>
                <w:bCs/>
                <w:sz w:val="28"/>
                <w:szCs w:val="28"/>
                <w:lang w:val="uk-UA"/>
              </w:rPr>
            </w:pPr>
            <w:r w:rsidRPr="005A4C9F">
              <w:rPr>
                <w:b/>
                <w:bCs/>
                <w:sz w:val="28"/>
                <w:szCs w:val="28"/>
              </w:rPr>
              <w:t>Голов</w:t>
            </w:r>
            <w:r>
              <w:rPr>
                <w:b/>
                <w:bCs/>
                <w:sz w:val="28"/>
                <w:szCs w:val="28"/>
              </w:rPr>
              <w:t>а</w:t>
            </w:r>
          </w:p>
        </w:tc>
        <w:tc>
          <w:tcPr>
            <w:tcW w:w="5049" w:type="dxa"/>
            <w:shd w:val="clear" w:color="auto" w:fill="auto"/>
          </w:tcPr>
          <w:p w:rsidR="00923631" w:rsidRDefault="00E31C95" w:rsidP="00C0509F">
            <w:pPr>
              <w:snapToGrid w:val="0"/>
              <w:ind w:right="-27"/>
              <w:jc w:val="right"/>
              <w:rPr>
                <w:b/>
                <w:bCs/>
                <w:sz w:val="28"/>
                <w:szCs w:val="28"/>
                <w:lang w:val="uk-UA"/>
              </w:rPr>
            </w:pPr>
            <w:r>
              <w:rPr>
                <w:b/>
                <w:bCs/>
                <w:sz w:val="28"/>
                <w:szCs w:val="28"/>
                <w:lang w:val="uk-UA"/>
              </w:rPr>
              <w:t xml:space="preserve">           Тетяна</w:t>
            </w:r>
            <w:r w:rsidR="00923631">
              <w:rPr>
                <w:b/>
                <w:bCs/>
                <w:sz w:val="28"/>
                <w:szCs w:val="28"/>
                <w:lang w:val="uk-UA"/>
              </w:rPr>
              <w:t xml:space="preserve"> СЛЮЗ</w:t>
            </w:r>
          </w:p>
        </w:tc>
      </w:tr>
    </w:tbl>
    <w:p w:rsidR="0073012C" w:rsidRPr="006F27A8" w:rsidRDefault="0073012C">
      <w:pPr>
        <w:jc w:val="both"/>
        <w:rPr>
          <w:lang w:val="uk-UA"/>
        </w:rPr>
      </w:pPr>
    </w:p>
    <w:sectPr w:rsidR="0073012C" w:rsidRPr="006F27A8" w:rsidSect="005D50D4">
      <w:headerReference w:type="default" r:id="rId9"/>
      <w:pgSz w:w="11906" w:h="16838"/>
      <w:pgMar w:top="1135"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4DC" w:rsidRDefault="00E624DC">
      <w:r>
        <w:separator/>
      </w:r>
    </w:p>
  </w:endnote>
  <w:endnote w:type="continuationSeparator" w:id="0">
    <w:p w:rsidR="00E624DC" w:rsidRDefault="00E624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charset w:val="00"/>
    <w:family w:val="roman"/>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4DC" w:rsidRDefault="00E624DC">
      <w:r>
        <w:separator/>
      </w:r>
    </w:p>
  </w:footnote>
  <w:footnote w:type="continuationSeparator" w:id="0">
    <w:p w:rsidR="00E624DC" w:rsidRDefault="00E624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4C" w:rsidRDefault="006E7884">
    <w:pPr>
      <w:pStyle w:val="aa"/>
      <w:jc w:val="center"/>
      <w:rPr>
        <w:lang w:val="uk-UA"/>
      </w:rPr>
    </w:pPr>
    <w:r w:rsidRPr="006E7884">
      <w:pict>
        <v:shapetype id="_x0000_t202" coordsize="21600,21600" o:spt="202" path="m,l,21600r21600,l21600,xe">
          <v:stroke joinstyle="miter"/>
          <v:path gradientshapeok="t" o:connecttype="rect"/>
        </v:shapetype>
        <v:shape id="_x0000_s1025" type="#_x0000_t202" style="position:absolute;left:0;text-align:left;margin-left:0;margin-top:.05pt;width:4.5pt;height:12.25pt;z-index:251657728;mso-wrap-distance-left:0;mso-wrap-distance-right:0;mso-position-horizontal:center;mso-position-horizontal-relative:margin" stroked="f">
          <v:fill opacity="0" color2="black"/>
          <v:textbox inset="0,0,0,0">
            <w:txbxContent>
              <w:p w:rsidR="002A344C" w:rsidRDefault="006E7884">
                <w:pPr>
                  <w:pStyle w:val="aa"/>
                </w:pPr>
                <w:r>
                  <w:rPr>
                    <w:rStyle w:val="a3"/>
                  </w:rPr>
                  <w:fldChar w:fldCharType="begin"/>
                </w:r>
                <w:r w:rsidR="002A344C">
                  <w:rPr>
                    <w:rStyle w:val="a3"/>
                  </w:rPr>
                  <w:instrText xml:space="preserve"> PAGE </w:instrText>
                </w:r>
                <w:r>
                  <w:rPr>
                    <w:rStyle w:val="a3"/>
                  </w:rPr>
                  <w:fldChar w:fldCharType="separate"/>
                </w:r>
                <w:r w:rsidR="00A25C88">
                  <w:rPr>
                    <w:rStyle w:val="a3"/>
                    <w:noProof/>
                  </w:rPr>
                  <w:t>2</w:t>
                </w:r>
                <w:r>
                  <w:rPr>
                    <w:rStyle w:val="a3"/>
                  </w:rPr>
                  <w:fldChar w:fldCharType="end"/>
                </w:r>
              </w:p>
            </w:txbxContent>
          </v:textbox>
          <w10:wrap type="square" side="largest" anchorx="margin"/>
        </v:shape>
      </w:pict>
    </w:r>
  </w:p>
  <w:p w:rsidR="002A344C" w:rsidRDefault="002A344C">
    <w:pPr>
      <w:pStyle w:val="aa"/>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6146">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571FF2"/>
    <w:rsid w:val="00013C75"/>
    <w:rsid w:val="00034B57"/>
    <w:rsid w:val="000501D9"/>
    <w:rsid w:val="00053F83"/>
    <w:rsid w:val="0006206B"/>
    <w:rsid w:val="0007726B"/>
    <w:rsid w:val="00082038"/>
    <w:rsid w:val="00091065"/>
    <w:rsid w:val="00091191"/>
    <w:rsid w:val="000911F5"/>
    <w:rsid w:val="000A1273"/>
    <w:rsid w:val="000A1959"/>
    <w:rsid w:val="000D223A"/>
    <w:rsid w:val="000E0825"/>
    <w:rsid w:val="000E5F1F"/>
    <w:rsid w:val="001010BA"/>
    <w:rsid w:val="00102D26"/>
    <w:rsid w:val="00103679"/>
    <w:rsid w:val="0010743D"/>
    <w:rsid w:val="00114B1C"/>
    <w:rsid w:val="00132B73"/>
    <w:rsid w:val="0014034F"/>
    <w:rsid w:val="0015604B"/>
    <w:rsid w:val="00162AF4"/>
    <w:rsid w:val="00180D95"/>
    <w:rsid w:val="00186070"/>
    <w:rsid w:val="00190D37"/>
    <w:rsid w:val="001913CD"/>
    <w:rsid w:val="00192CBD"/>
    <w:rsid w:val="001A0ADB"/>
    <w:rsid w:val="001A4C9B"/>
    <w:rsid w:val="001B26E8"/>
    <w:rsid w:val="001B2749"/>
    <w:rsid w:val="001D1197"/>
    <w:rsid w:val="001D1AC1"/>
    <w:rsid w:val="001D2F32"/>
    <w:rsid w:val="001D3458"/>
    <w:rsid w:val="001D3F7C"/>
    <w:rsid w:val="001D6A2C"/>
    <w:rsid w:val="00212E30"/>
    <w:rsid w:val="00217744"/>
    <w:rsid w:val="00250FD2"/>
    <w:rsid w:val="002569A1"/>
    <w:rsid w:val="00287D68"/>
    <w:rsid w:val="002915DF"/>
    <w:rsid w:val="002A344C"/>
    <w:rsid w:val="002B1DB6"/>
    <w:rsid w:val="002C6BF2"/>
    <w:rsid w:val="002C6F28"/>
    <w:rsid w:val="002D749E"/>
    <w:rsid w:val="002E0D4D"/>
    <w:rsid w:val="002E2437"/>
    <w:rsid w:val="002E48D9"/>
    <w:rsid w:val="002F1F68"/>
    <w:rsid w:val="002F6311"/>
    <w:rsid w:val="00323269"/>
    <w:rsid w:val="0033123A"/>
    <w:rsid w:val="0034427A"/>
    <w:rsid w:val="003513A8"/>
    <w:rsid w:val="00373E08"/>
    <w:rsid w:val="00374772"/>
    <w:rsid w:val="003825C1"/>
    <w:rsid w:val="00391B5C"/>
    <w:rsid w:val="00394488"/>
    <w:rsid w:val="003A6304"/>
    <w:rsid w:val="003B2856"/>
    <w:rsid w:val="003B7EA7"/>
    <w:rsid w:val="003C1EB5"/>
    <w:rsid w:val="003D19B7"/>
    <w:rsid w:val="003D3470"/>
    <w:rsid w:val="003D6D61"/>
    <w:rsid w:val="003F282B"/>
    <w:rsid w:val="003F4900"/>
    <w:rsid w:val="00404EBC"/>
    <w:rsid w:val="00410475"/>
    <w:rsid w:val="0044381C"/>
    <w:rsid w:val="00444893"/>
    <w:rsid w:val="00446071"/>
    <w:rsid w:val="00446E15"/>
    <w:rsid w:val="00447584"/>
    <w:rsid w:val="0046302B"/>
    <w:rsid w:val="0046719B"/>
    <w:rsid w:val="0047112E"/>
    <w:rsid w:val="00476C82"/>
    <w:rsid w:val="0048026B"/>
    <w:rsid w:val="00487D02"/>
    <w:rsid w:val="0049172F"/>
    <w:rsid w:val="00494645"/>
    <w:rsid w:val="004A01E2"/>
    <w:rsid w:val="004A0AD5"/>
    <w:rsid w:val="004A6E78"/>
    <w:rsid w:val="004B782C"/>
    <w:rsid w:val="004E3E67"/>
    <w:rsid w:val="004E43F4"/>
    <w:rsid w:val="004F4DCE"/>
    <w:rsid w:val="005126FA"/>
    <w:rsid w:val="0051737D"/>
    <w:rsid w:val="005179DC"/>
    <w:rsid w:val="00564EDE"/>
    <w:rsid w:val="00571FF2"/>
    <w:rsid w:val="00574BCB"/>
    <w:rsid w:val="00580D4E"/>
    <w:rsid w:val="00590C49"/>
    <w:rsid w:val="0059183A"/>
    <w:rsid w:val="005A2176"/>
    <w:rsid w:val="005A4C9F"/>
    <w:rsid w:val="005B0950"/>
    <w:rsid w:val="005B6F19"/>
    <w:rsid w:val="005B7D1A"/>
    <w:rsid w:val="005D50D4"/>
    <w:rsid w:val="005F369A"/>
    <w:rsid w:val="00620379"/>
    <w:rsid w:val="00637F8F"/>
    <w:rsid w:val="00647672"/>
    <w:rsid w:val="00663CEA"/>
    <w:rsid w:val="00664840"/>
    <w:rsid w:val="006655CF"/>
    <w:rsid w:val="00680B9C"/>
    <w:rsid w:val="006A2C0A"/>
    <w:rsid w:val="006A3C77"/>
    <w:rsid w:val="006B3CBB"/>
    <w:rsid w:val="006D495A"/>
    <w:rsid w:val="006E2EB2"/>
    <w:rsid w:val="006E7884"/>
    <w:rsid w:val="006F0449"/>
    <w:rsid w:val="006F27A8"/>
    <w:rsid w:val="00716E0A"/>
    <w:rsid w:val="007205E3"/>
    <w:rsid w:val="0073012C"/>
    <w:rsid w:val="007375B8"/>
    <w:rsid w:val="007561E6"/>
    <w:rsid w:val="00757197"/>
    <w:rsid w:val="00782F4B"/>
    <w:rsid w:val="0078759E"/>
    <w:rsid w:val="00787812"/>
    <w:rsid w:val="00794BB3"/>
    <w:rsid w:val="00797CE4"/>
    <w:rsid w:val="007A2B0D"/>
    <w:rsid w:val="007A6B6D"/>
    <w:rsid w:val="007C7089"/>
    <w:rsid w:val="007D18F9"/>
    <w:rsid w:val="007E2621"/>
    <w:rsid w:val="0081769A"/>
    <w:rsid w:val="008320CB"/>
    <w:rsid w:val="0084460A"/>
    <w:rsid w:val="00846ECB"/>
    <w:rsid w:val="00856661"/>
    <w:rsid w:val="008600FE"/>
    <w:rsid w:val="00875D18"/>
    <w:rsid w:val="00876270"/>
    <w:rsid w:val="008A0C9C"/>
    <w:rsid w:val="008A23D9"/>
    <w:rsid w:val="008B08FA"/>
    <w:rsid w:val="008B1FB0"/>
    <w:rsid w:val="008B36A8"/>
    <w:rsid w:val="008B6BC3"/>
    <w:rsid w:val="008C09E3"/>
    <w:rsid w:val="008C6BC3"/>
    <w:rsid w:val="008E4027"/>
    <w:rsid w:val="008E5CEF"/>
    <w:rsid w:val="00912054"/>
    <w:rsid w:val="00923631"/>
    <w:rsid w:val="00923965"/>
    <w:rsid w:val="0093513C"/>
    <w:rsid w:val="00950CB5"/>
    <w:rsid w:val="00952528"/>
    <w:rsid w:val="00981BCE"/>
    <w:rsid w:val="0098502F"/>
    <w:rsid w:val="00990AD1"/>
    <w:rsid w:val="00990DDC"/>
    <w:rsid w:val="009D48D9"/>
    <w:rsid w:val="00A10A42"/>
    <w:rsid w:val="00A11A8A"/>
    <w:rsid w:val="00A1561C"/>
    <w:rsid w:val="00A21C1F"/>
    <w:rsid w:val="00A25C88"/>
    <w:rsid w:val="00A266AB"/>
    <w:rsid w:val="00A33531"/>
    <w:rsid w:val="00A54E47"/>
    <w:rsid w:val="00AD7509"/>
    <w:rsid w:val="00AE0DCE"/>
    <w:rsid w:val="00B035BF"/>
    <w:rsid w:val="00B129CB"/>
    <w:rsid w:val="00B2462B"/>
    <w:rsid w:val="00B3519C"/>
    <w:rsid w:val="00B35CA7"/>
    <w:rsid w:val="00B409BD"/>
    <w:rsid w:val="00B4528B"/>
    <w:rsid w:val="00B5494B"/>
    <w:rsid w:val="00B65A25"/>
    <w:rsid w:val="00B65B44"/>
    <w:rsid w:val="00B70D42"/>
    <w:rsid w:val="00B8067E"/>
    <w:rsid w:val="00BA4C3B"/>
    <w:rsid w:val="00BC2EAF"/>
    <w:rsid w:val="00BC55B4"/>
    <w:rsid w:val="00BD63A2"/>
    <w:rsid w:val="00BE3690"/>
    <w:rsid w:val="00C00956"/>
    <w:rsid w:val="00C0103A"/>
    <w:rsid w:val="00C0509F"/>
    <w:rsid w:val="00C05684"/>
    <w:rsid w:val="00C10F64"/>
    <w:rsid w:val="00C15C53"/>
    <w:rsid w:val="00C278E5"/>
    <w:rsid w:val="00C32356"/>
    <w:rsid w:val="00C40E92"/>
    <w:rsid w:val="00C657B6"/>
    <w:rsid w:val="00C71C81"/>
    <w:rsid w:val="00C72277"/>
    <w:rsid w:val="00C825E8"/>
    <w:rsid w:val="00C92ADB"/>
    <w:rsid w:val="00C96610"/>
    <w:rsid w:val="00CA14D1"/>
    <w:rsid w:val="00CA49F2"/>
    <w:rsid w:val="00CB62D4"/>
    <w:rsid w:val="00CC2044"/>
    <w:rsid w:val="00CC7622"/>
    <w:rsid w:val="00CE68F9"/>
    <w:rsid w:val="00CE6DAC"/>
    <w:rsid w:val="00CF6249"/>
    <w:rsid w:val="00D206C5"/>
    <w:rsid w:val="00D22A19"/>
    <w:rsid w:val="00D34828"/>
    <w:rsid w:val="00D375DC"/>
    <w:rsid w:val="00D43899"/>
    <w:rsid w:val="00D44133"/>
    <w:rsid w:val="00D53365"/>
    <w:rsid w:val="00D65133"/>
    <w:rsid w:val="00D84F17"/>
    <w:rsid w:val="00D91D11"/>
    <w:rsid w:val="00DB7743"/>
    <w:rsid w:val="00DB7A05"/>
    <w:rsid w:val="00DE3EEE"/>
    <w:rsid w:val="00DE445E"/>
    <w:rsid w:val="00DE5801"/>
    <w:rsid w:val="00DF1E45"/>
    <w:rsid w:val="00E01232"/>
    <w:rsid w:val="00E01C9B"/>
    <w:rsid w:val="00E0772F"/>
    <w:rsid w:val="00E127A3"/>
    <w:rsid w:val="00E15CAD"/>
    <w:rsid w:val="00E203A9"/>
    <w:rsid w:val="00E31C95"/>
    <w:rsid w:val="00E40584"/>
    <w:rsid w:val="00E51C58"/>
    <w:rsid w:val="00E624DC"/>
    <w:rsid w:val="00E6755C"/>
    <w:rsid w:val="00E90693"/>
    <w:rsid w:val="00EA084B"/>
    <w:rsid w:val="00EA4AD8"/>
    <w:rsid w:val="00EA6E51"/>
    <w:rsid w:val="00EB4144"/>
    <w:rsid w:val="00EE559C"/>
    <w:rsid w:val="00EE63F2"/>
    <w:rsid w:val="00EE6A1F"/>
    <w:rsid w:val="00F10F8D"/>
    <w:rsid w:val="00F20086"/>
    <w:rsid w:val="00F447E4"/>
    <w:rsid w:val="00F52E54"/>
    <w:rsid w:val="00F62784"/>
    <w:rsid w:val="00F67B97"/>
    <w:rsid w:val="00F80816"/>
    <w:rsid w:val="00F83686"/>
    <w:rsid w:val="00F8538A"/>
    <w:rsid w:val="00F94509"/>
    <w:rsid w:val="00FA3A16"/>
    <w:rsid w:val="00FA7071"/>
    <w:rsid w:val="00FC2AE7"/>
    <w:rsid w:val="00FC58AA"/>
    <w:rsid w:val="00FF4B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ние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о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ой текст с от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выноски Знак"/>
    <w:basedOn w:val="a0"/>
    <w:link w:val="af7"/>
    <w:uiPriority w:val="99"/>
    <w:semiHidden/>
    <w:rsid w:val="00647672"/>
    <w:rPr>
      <w:rFonts w:ascii="Tahoma" w:hAnsi="Tahoma" w:cs="Tahoma"/>
      <w:sz w:val="16"/>
      <w:szCs w:val="16"/>
      <w:lang w:val="ru-RU" w:eastAsia="ar-SA"/>
    </w:rPr>
  </w:style>
</w:styles>
</file>

<file path=word/webSettings.xml><?xml version="1.0" encoding="utf-8"?>
<w:webSettings xmlns:r="http://schemas.openxmlformats.org/officeDocument/2006/relationships" xmlns:w="http://schemas.openxmlformats.org/wordprocessingml/2006/main">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9AB758-BD92-47D3-9F19-43FE9F8B3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2</Pages>
  <Words>1135</Words>
  <Characters>647</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2800-OsinaT</cp:lastModifiedBy>
  <cp:revision>25</cp:revision>
  <cp:lastPrinted>2022-11-01T09:14:00Z</cp:lastPrinted>
  <dcterms:created xsi:type="dcterms:W3CDTF">2022-08-29T07:35:00Z</dcterms:created>
  <dcterms:modified xsi:type="dcterms:W3CDTF">2022-11-03T13:01:00Z</dcterms:modified>
</cp:coreProperties>
</file>