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 w:rsidP="00AB6DA1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 w:rsidP="00AB6DA1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0629CD" w:rsidP="00AB6DA1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 14.05.2021 року № 120</w:t>
      </w:r>
    </w:p>
    <w:p w:rsidR="00E04887" w:rsidRPr="00DA182A" w:rsidRDefault="00E04887" w:rsidP="00AB6DA1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 w:rsidP="00AB6DA1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C724C4" w:rsidRDefault="007B18B9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24798">
        <w:rPr>
          <w:sz w:val="24"/>
          <w:szCs w:val="24"/>
        </w:rPr>
        <w:t>В</w:t>
      </w:r>
      <w:r w:rsidRPr="00367390">
        <w:rPr>
          <w:sz w:val="24"/>
          <w:szCs w:val="24"/>
        </w:rPr>
        <w:t xml:space="preserve">» – </w:t>
      </w:r>
      <w:r w:rsidR="00C724C4">
        <w:rPr>
          <w:sz w:val="24"/>
          <w:szCs w:val="24"/>
        </w:rPr>
        <w:t>головного казначея відділу</w:t>
      </w:r>
    </w:p>
    <w:p w:rsidR="00C724C4" w:rsidRDefault="00C724C4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видатків АПК та виробничої сфери Управління видатків державного бюджету </w:t>
      </w:r>
    </w:p>
    <w:p w:rsidR="00C724C4" w:rsidRDefault="00C724C4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Державної казначейської служби України</w:t>
      </w:r>
    </w:p>
    <w:p w:rsidR="006B6FA4" w:rsidRPr="00DA182A" w:rsidRDefault="006B6FA4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25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A932C9">
        <w:trPr>
          <w:trHeight w:val="366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25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4C4" w:rsidRPr="008250CE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8250CE">
              <w:rPr>
                <w:lang w:val="uk-UA"/>
              </w:rPr>
              <w:t>бере участь у підготовці проектів законодавчих і нормативно-правових актів щодо казначейського обслуговування державного бюджету за витратами</w:t>
            </w:r>
            <w:r>
              <w:rPr>
                <w:lang w:val="uk-UA"/>
              </w:rPr>
              <w:t>;</w:t>
            </w:r>
          </w:p>
          <w:p w:rsidR="00C724C4" w:rsidRPr="00566036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566036">
              <w:rPr>
                <w:lang w:val="uk-UA"/>
              </w:rPr>
              <w:t xml:space="preserve">здійснює формування витягів з розпису державного бюджету та доведення до головних розпорядників бюджетних коштів; </w:t>
            </w:r>
          </w:p>
          <w:p w:rsidR="00C724C4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здійснює в</w:t>
            </w:r>
            <w:r w:rsidRPr="008250CE">
              <w:rPr>
                <w:lang w:val="uk-UA"/>
              </w:rPr>
              <w:t>ведення в облік змін до розпису державного бюджету</w:t>
            </w:r>
            <w:r>
              <w:rPr>
                <w:lang w:val="uk-UA"/>
              </w:rPr>
              <w:t>;</w:t>
            </w:r>
            <w:r w:rsidRPr="008250CE">
              <w:rPr>
                <w:lang w:val="uk-UA"/>
              </w:rPr>
              <w:t xml:space="preserve"> </w:t>
            </w:r>
          </w:p>
          <w:p w:rsidR="00C724C4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проводить роботу щодо п</w:t>
            </w:r>
            <w:r w:rsidRPr="008250CE">
              <w:rPr>
                <w:lang w:val="uk-UA"/>
              </w:rPr>
              <w:t>рийняття від головних розпорядників бюджетних коштів розподілів показників зведених кошторисів та зведених планів асигнувань державного бюджету</w:t>
            </w:r>
            <w:r>
              <w:rPr>
                <w:lang w:val="uk-UA"/>
              </w:rPr>
              <w:t xml:space="preserve"> та</w:t>
            </w:r>
            <w:r w:rsidRPr="008250CE">
              <w:rPr>
                <w:lang w:val="uk-UA"/>
              </w:rPr>
              <w:t xml:space="preserve"> перевірк</w:t>
            </w:r>
            <w:r>
              <w:rPr>
                <w:lang w:val="uk-UA"/>
              </w:rPr>
              <w:t>и</w:t>
            </w:r>
            <w:r w:rsidRPr="008250CE">
              <w:rPr>
                <w:lang w:val="uk-UA"/>
              </w:rPr>
              <w:t xml:space="preserve"> на відповідність показникам затвердженого розпису державного бюджету, даним мережі та іншим встановленим вимогам, відображення показників в обліку</w:t>
            </w:r>
            <w:r>
              <w:rPr>
                <w:lang w:val="uk-UA"/>
              </w:rPr>
              <w:t>;</w:t>
            </w:r>
          </w:p>
          <w:p w:rsidR="00C724C4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8250CE">
              <w:rPr>
                <w:lang w:val="uk-UA"/>
              </w:rPr>
              <w:t>забезпечує формування оперативної інформації щодо планових показників та відкритих асигнувань державного бюджету</w:t>
            </w:r>
            <w:r>
              <w:rPr>
                <w:lang w:val="uk-UA"/>
              </w:rPr>
              <w:t>;</w:t>
            </w:r>
          </w:p>
          <w:p w:rsidR="00C724C4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8250CE">
              <w:rPr>
                <w:lang w:val="uk-UA"/>
              </w:rPr>
              <w:t>здійснює відповідно до встановлених обсягів асигнувань та доручень Уряду цільового спрямування бюджетних асигнувань</w:t>
            </w:r>
            <w:r>
              <w:rPr>
                <w:lang w:val="uk-UA"/>
              </w:rPr>
              <w:t>;</w:t>
            </w:r>
          </w:p>
          <w:p w:rsidR="00C724C4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E214B8">
              <w:rPr>
                <w:lang w:val="uk-UA"/>
              </w:rPr>
              <w:t>здійснює застосування заходів впливу за порушення бюджетного законодавства</w:t>
            </w:r>
            <w:r>
              <w:rPr>
                <w:lang w:val="uk-UA"/>
              </w:rPr>
              <w:t>;</w:t>
            </w:r>
          </w:p>
          <w:p w:rsidR="00C724C4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8250CE">
              <w:rPr>
                <w:lang w:val="uk-UA"/>
              </w:rPr>
              <w:t xml:space="preserve">бере </w:t>
            </w:r>
            <w:r w:rsidRPr="00E214B8">
              <w:rPr>
                <w:lang w:val="uk-UA"/>
              </w:rPr>
              <w:t>участь у розгляді та наданні відповідей на заяви, звернення, запити та листи юридичних, фізичних осіб з питань, що належать до компетенції відділу</w:t>
            </w:r>
            <w:r>
              <w:rPr>
                <w:lang w:val="uk-UA"/>
              </w:rPr>
              <w:t>;</w:t>
            </w:r>
          </w:p>
          <w:p w:rsidR="00C724C4" w:rsidRPr="00E214B8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E214B8">
              <w:rPr>
                <w:lang w:val="uk-UA"/>
              </w:rPr>
              <w:t>бере участь у проведенні внутрішнього аудиту територіальних органів Казначейства</w:t>
            </w:r>
            <w:r>
              <w:rPr>
                <w:lang w:val="uk-UA"/>
              </w:rPr>
              <w:t>;</w:t>
            </w:r>
          </w:p>
          <w:p w:rsidR="001F26F8" w:rsidRPr="001F26F8" w:rsidRDefault="00C724C4" w:rsidP="00AB6DA1">
            <w:pPr>
              <w:pStyle w:val="afb"/>
              <w:shd w:val="clear" w:color="auto" w:fill="FFFFFF"/>
              <w:spacing w:before="0" w:beforeAutospacing="0" w:after="40" w:afterAutospacing="0" w:line="225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05460C">
              <w:rPr>
                <w:lang w:val="uk-UA"/>
              </w:rPr>
              <w:t>виконує іншу роботу, що належ</w:t>
            </w:r>
            <w:r>
              <w:rPr>
                <w:lang w:val="uk-UA"/>
              </w:rPr>
              <w:t>и</w:t>
            </w:r>
            <w:r w:rsidRPr="0005460C">
              <w:rPr>
                <w:lang w:val="uk-UA"/>
              </w:rPr>
              <w:t xml:space="preserve">ть до компетенції </w:t>
            </w:r>
            <w:r>
              <w:rPr>
                <w:lang w:val="uk-UA"/>
              </w:rPr>
              <w:t>відділу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DC79EE">
        <w:trPr>
          <w:trHeight w:val="99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25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 w:line="22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C724C4">
              <w:rPr>
                <w:sz w:val="24"/>
                <w:szCs w:val="24"/>
              </w:rPr>
              <w:t>8 500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 w:rsidP="00AB6DA1">
            <w:pPr>
              <w:tabs>
                <w:tab w:val="left" w:pos="612"/>
              </w:tabs>
              <w:spacing w:after="20" w:line="22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 w:rsidP="00AB6DA1">
            <w:pPr>
              <w:tabs>
                <w:tab w:val="left" w:pos="612"/>
              </w:tabs>
              <w:spacing w:after="20" w:line="22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25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tabs>
                <w:tab w:val="left" w:pos="0"/>
                <w:tab w:val="left" w:pos="612"/>
              </w:tabs>
              <w:spacing w:after="120" w:line="225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безстроково</w:t>
            </w:r>
          </w:p>
          <w:p w:rsidR="00E04887" w:rsidRPr="00DA182A" w:rsidRDefault="008C383D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120" w:line="225" w:lineRule="auto"/>
              <w:ind w:left="187" w:right="10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AB6DA1">
            <w:pPr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AB6DA1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Документи приймаються </w:t>
            </w:r>
            <w:r w:rsidRPr="005A32B5">
              <w:rPr>
                <w:sz w:val="24"/>
                <w:szCs w:val="24"/>
              </w:rPr>
              <w:t xml:space="preserve">до 17 год. </w:t>
            </w:r>
            <w:r w:rsidR="00B12351" w:rsidRPr="005A32B5">
              <w:rPr>
                <w:sz w:val="24"/>
                <w:szCs w:val="24"/>
              </w:rPr>
              <w:t>30</w:t>
            </w:r>
            <w:r w:rsidRPr="005A32B5">
              <w:rPr>
                <w:sz w:val="24"/>
                <w:szCs w:val="24"/>
              </w:rPr>
              <w:t xml:space="preserve"> хв. </w:t>
            </w:r>
            <w:r w:rsidR="005A32B5" w:rsidRPr="005A32B5">
              <w:rPr>
                <w:sz w:val="24"/>
                <w:szCs w:val="24"/>
              </w:rPr>
              <w:t>20</w:t>
            </w:r>
            <w:r w:rsidRPr="005A32B5">
              <w:rPr>
                <w:sz w:val="24"/>
                <w:szCs w:val="24"/>
              </w:rPr>
              <w:t xml:space="preserve"> </w:t>
            </w:r>
            <w:r w:rsidR="005A32B5" w:rsidRPr="005A32B5">
              <w:rPr>
                <w:sz w:val="24"/>
                <w:szCs w:val="24"/>
              </w:rPr>
              <w:t>травня</w:t>
            </w:r>
            <w:r w:rsidRPr="005A32B5">
              <w:rPr>
                <w:sz w:val="24"/>
                <w:szCs w:val="24"/>
              </w:rPr>
              <w:t xml:space="preserve"> 2021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E04887" w:rsidRPr="00DA182A" w:rsidRDefault="007B18B9" w:rsidP="00AB6DA1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E04887" w:rsidRDefault="007B18B9" w:rsidP="00AB6DA1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C383D" w:rsidRPr="00DA182A" w:rsidRDefault="008C383D" w:rsidP="00AB6DA1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351" w:rsidRPr="005A32B5" w:rsidRDefault="005A32B5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5A32B5">
              <w:rPr>
                <w:sz w:val="24"/>
                <w:szCs w:val="24"/>
                <w:lang w:val="ru-RU"/>
              </w:rPr>
              <w:t>25</w:t>
            </w:r>
            <w:r w:rsidR="00B12351" w:rsidRPr="005A32B5">
              <w:rPr>
                <w:sz w:val="24"/>
                <w:szCs w:val="24"/>
              </w:rPr>
              <w:t xml:space="preserve"> </w:t>
            </w:r>
            <w:r w:rsidRPr="005A32B5">
              <w:rPr>
                <w:sz w:val="24"/>
                <w:szCs w:val="24"/>
              </w:rPr>
              <w:t>травня</w:t>
            </w:r>
            <w:r w:rsidR="00B12351" w:rsidRPr="005A32B5">
              <w:rPr>
                <w:sz w:val="24"/>
                <w:szCs w:val="24"/>
              </w:rPr>
              <w:t xml:space="preserve"> 2021 року 10 год. 00 хв. </w:t>
            </w:r>
          </w:p>
          <w:p w:rsidR="00B12351" w:rsidRPr="00DA182A" w:rsidRDefault="00B12351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Default="00B12351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B12351" w:rsidRPr="00E01DC2" w:rsidRDefault="00B12351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B12351" w:rsidRPr="0094007D" w:rsidRDefault="00B12351" w:rsidP="00AB6DA1">
            <w:pPr>
              <w:spacing w:after="20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E04887" w:rsidRDefault="00B12351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  <w:p w:rsidR="008C383D" w:rsidRDefault="008C383D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Default="008C383D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</w:p>
          <w:p w:rsidR="008C383D" w:rsidRPr="000E0663" w:rsidRDefault="008C383D" w:rsidP="00AB6DA1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B12351" w:rsidP="00AB6DA1">
            <w:pPr>
              <w:spacing w:after="20" w:line="260" w:lineRule="auto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A37E38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вища освіта за освітнім ступенем не нижче бакалавра, молодшого бакалавра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A37E38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 досвіду роботи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5219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DC79EE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AB6D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C33F7" w:rsidRDefault="001C33F7" w:rsidP="00AB6D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встановлювати причинно-наслідкові зв’язки;</w:t>
            </w:r>
          </w:p>
          <w:p w:rsidR="00E04887" w:rsidRPr="00C95B72" w:rsidRDefault="001C33F7" w:rsidP="00AB6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8B9"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1C33F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Уважність до деталей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AB6DA1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здатний помічати окремі елементи та акцентувати увагу на деталях у своїй роботі;</w:t>
            </w:r>
          </w:p>
          <w:p w:rsidR="00E04887" w:rsidRPr="00C95B72" w:rsidRDefault="001C33F7" w:rsidP="00AB6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здатний враховувати деталі при прийнятті рішень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1C33F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F7" w:rsidRDefault="001C33F7" w:rsidP="00AB6D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C33F7" w:rsidRDefault="001C33F7" w:rsidP="00AB6DA1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95B72" w:rsidRPr="00C95B72" w:rsidRDefault="001C33F7" w:rsidP="00AB6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ED0" w:rsidRDefault="005A1ED0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spacing w:line="260" w:lineRule="auto"/>
              <w:ind w:right="10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B6DA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Робота з </w:t>
            </w:r>
          </w:p>
          <w:p w:rsidR="00C95B72" w:rsidRPr="00DA182A" w:rsidRDefault="005A1ED0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великими масивами інформації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DA1" w:rsidRDefault="00AB6DA1" w:rsidP="00AB6DA1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здатність встановлювати логічні взаємозв’язки;</w:t>
            </w:r>
          </w:p>
          <w:p w:rsidR="00AB6DA1" w:rsidRDefault="00AB6DA1" w:rsidP="00AB6DA1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вміння систематизувати великий масив інформації;</w:t>
            </w:r>
          </w:p>
          <w:p w:rsidR="00C95B72" w:rsidRPr="00C95B72" w:rsidRDefault="00AB6DA1" w:rsidP="00AB6D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60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виділяти головне, робити чіткі, структуровані висновки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spacing w:after="20" w:line="260" w:lineRule="auto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AB6DA1">
            <w:pPr>
              <w:spacing w:after="20" w:line="260" w:lineRule="auto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AB6DA1">
            <w:pPr>
              <w:tabs>
                <w:tab w:val="left" w:pos="129"/>
              </w:tabs>
              <w:spacing w:after="20" w:line="260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 w:rsidP="00AB6DA1">
            <w:pPr>
              <w:tabs>
                <w:tab w:val="left" w:pos="129"/>
              </w:tabs>
              <w:spacing w:after="20" w:line="260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 w:rsidP="00AB6DA1">
            <w:pPr>
              <w:tabs>
                <w:tab w:val="left" w:pos="129"/>
              </w:tabs>
              <w:spacing w:after="20" w:line="260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 w:rsidP="00AB6DA1">
            <w:pPr>
              <w:tabs>
                <w:tab w:val="left" w:pos="129"/>
              </w:tabs>
              <w:spacing w:after="20" w:line="260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 w:rsidP="00AB6DA1">
            <w:pPr>
              <w:tabs>
                <w:tab w:val="left" w:pos="129"/>
              </w:tabs>
              <w:spacing w:after="20" w:line="260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lastRenderedPageBreak/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7E7" w:rsidRDefault="003D67E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60" w:lineRule="auto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3D67E7" w:rsidRPr="0092588A" w:rsidRDefault="003D67E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60" w:lineRule="auto"/>
              <w:ind w:left="135" w:right="125" w:firstLine="285"/>
              <w:rPr>
                <w:rStyle w:val="20"/>
                <w:sz w:val="24"/>
                <w:szCs w:val="24"/>
              </w:rPr>
            </w:pPr>
            <w:r w:rsidRPr="0092588A">
              <w:rPr>
                <w:rStyle w:val="20"/>
                <w:sz w:val="24"/>
                <w:szCs w:val="24"/>
              </w:rPr>
              <w:t>Бюджетного кодексу</w:t>
            </w:r>
            <w:r>
              <w:rPr>
                <w:rStyle w:val="20"/>
                <w:sz w:val="24"/>
                <w:szCs w:val="24"/>
              </w:rPr>
              <w:t xml:space="preserve"> України;</w:t>
            </w:r>
          </w:p>
          <w:p w:rsidR="003D67E7" w:rsidRDefault="003D67E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60" w:lineRule="auto"/>
              <w:ind w:left="135" w:right="125" w:firstLine="285"/>
              <w:rPr>
                <w:rStyle w:val="20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квітня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215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Положення про </w:t>
            </w:r>
            <w:r>
              <w:rPr>
                <w:color w:val="000000"/>
                <w:sz w:val="24"/>
                <w:szCs w:val="24"/>
              </w:rPr>
              <w:t>Державну казначейську службу України</w:t>
            </w:r>
            <w:r w:rsidRPr="00DA182A">
              <w:rPr>
                <w:color w:val="000000"/>
                <w:sz w:val="24"/>
                <w:szCs w:val="24"/>
              </w:rPr>
              <w:t>»</w:t>
            </w:r>
            <w:r>
              <w:rPr>
                <w:rStyle w:val="20"/>
              </w:rPr>
              <w:t>;</w:t>
            </w:r>
          </w:p>
          <w:p w:rsidR="003D67E7" w:rsidRPr="0047189D" w:rsidRDefault="003D67E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60" w:lineRule="auto"/>
              <w:ind w:left="135" w:right="125" w:firstLine="285"/>
              <w:rPr>
                <w:sz w:val="24"/>
                <w:szCs w:val="24"/>
              </w:rPr>
            </w:pPr>
            <w:r w:rsidRPr="00E7594A">
              <w:rPr>
                <w:sz w:val="24"/>
                <w:szCs w:val="24"/>
              </w:rPr>
              <w:t xml:space="preserve">Наказу Міністерства фінансів України від 24 грудня 2012 року № 1407 «Про затвердження </w:t>
            </w:r>
            <w:r>
              <w:rPr>
                <w:rStyle w:val="20"/>
                <w:color w:val="auto"/>
                <w:sz w:val="24"/>
                <w:szCs w:val="24"/>
              </w:rPr>
              <w:t>Порядку</w:t>
            </w:r>
            <w:r w:rsidRPr="00E7594A">
              <w:rPr>
                <w:rStyle w:val="20"/>
                <w:color w:val="auto"/>
                <w:sz w:val="24"/>
                <w:szCs w:val="24"/>
              </w:rPr>
              <w:t xml:space="preserve"> казначейського обслуговування державного бюджету за витратами</w:t>
            </w:r>
            <w:r>
              <w:rPr>
                <w:sz w:val="24"/>
                <w:szCs w:val="24"/>
              </w:rPr>
              <w:t>»;</w:t>
            </w:r>
          </w:p>
          <w:p w:rsidR="00A24798" w:rsidRDefault="003D67E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40" w:line="260" w:lineRule="auto"/>
              <w:ind w:left="136" w:right="125" w:firstLine="284"/>
              <w:rPr>
                <w:rStyle w:val="20"/>
                <w:color w:val="auto"/>
                <w:sz w:val="24"/>
                <w:szCs w:val="24"/>
              </w:rPr>
            </w:pPr>
            <w:r w:rsidRPr="00E7594A">
              <w:rPr>
                <w:sz w:val="24"/>
                <w:szCs w:val="24"/>
              </w:rPr>
              <w:t xml:space="preserve">Наказу Міністерства фінансів України від </w:t>
            </w:r>
            <w:r w:rsidR="00A24798">
              <w:rPr>
                <w:sz w:val="24"/>
                <w:szCs w:val="24"/>
              </w:rPr>
              <w:t>29</w:t>
            </w:r>
            <w:r w:rsidRPr="00E7594A">
              <w:rPr>
                <w:sz w:val="24"/>
                <w:szCs w:val="24"/>
              </w:rPr>
              <w:t xml:space="preserve"> </w:t>
            </w:r>
            <w:r w:rsidR="00A24798">
              <w:rPr>
                <w:sz w:val="24"/>
                <w:szCs w:val="24"/>
              </w:rPr>
              <w:t>грудня</w:t>
            </w:r>
            <w:r w:rsidRPr="00E7594A">
              <w:rPr>
                <w:sz w:val="24"/>
                <w:szCs w:val="24"/>
              </w:rPr>
              <w:t xml:space="preserve"> 20</w:t>
            </w:r>
            <w:r w:rsidR="00A24798">
              <w:rPr>
                <w:sz w:val="24"/>
                <w:szCs w:val="24"/>
              </w:rPr>
              <w:t>0</w:t>
            </w:r>
            <w:r w:rsidRPr="00E7594A">
              <w:rPr>
                <w:sz w:val="24"/>
                <w:szCs w:val="24"/>
              </w:rPr>
              <w:t>2 року № </w:t>
            </w:r>
            <w:r w:rsidR="00A24798">
              <w:rPr>
                <w:sz w:val="24"/>
                <w:szCs w:val="24"/>
              </w:rPr>
              <w:t>1098</w:t>
            </w:r>
            <w:r w:rsidRPr="00E7594A">
              <w:rPr>
                <w:sz w:val="24"/>
                <w:szCs w:val="24"/>
              </w:rPr>
              <w:t xml:space="preserve"> «Про </w:t>
            </w:r>
            <w:r w:rsidR="00A24798" w:rsidRPr="00A24798">
              <w:rPr>
                <w:sz w:val="24"/>
                <w:szCs w:val="24"/>
              </w:rPr>
              <w:t>паспорти</w:t>
            </w:r>
            <w:r w:rsidRPr="00E7594A">
              <w:rPr>
                <w:sz w:val="24"/>
                <w:szCs w:val="24"/>
              </w:rPr>
              <w:t xml:space="preserve"> </w:t>
            </w:r>
            <w:r w:rsidR="00A24798" w:rsidRPr="00A24798">
              <w:rPr>
                <w:rStyle w:val="20"/>
                <w:color w:val="auto"/>
                <w:sz w:val="24"/>
                <w:szCs w:val="24"/>
              </w:rPr>
              <w:t>бюджетних програм</w:t>
            </w:r>
            <w:r w:rsidRPr="00A24798">
              <w:rPr>
                <w:rStyle w:val="20"/>
                <w:color w:val="auto"/>
                <w:sz w:val="24"/>
                <w:szCs w:val="24"/>
              </w:rPr>
              <w:t>»</w:t>
            </w:r>
            <w:r w:rsidR="00A24798">
              <w:rPr>
                <w:rStyle w:val="20"/>
                <w:color w:val="auto"/>
                <w:sz w:val="24"/>
                <w:szCs w:val="24"/>
              </w:rPr>
              <w:t>;</w:t>
            </w:r>
          </w:p>
          <w:p w:rsidR="00A24798" w:rsidRPr="00997E2B" w:rsidRDefault="00A24798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40" w:line="260" w:lineRule="auto"/>
              <w:ind w:left="136" w:right="125" w:firstLine="284"/>
              <w:rPr>
                <w:sz w:val="24"/>
                <w:szCs w:val="24"/>
                <w:lang w:eastAsia="uk-UA" w:bidi="uk-UA"/>
              </w:rPr>
            </w:pPr>
            <w:r w:rsidRPr="00E7594A">
              <w:rPr>
                <w:sz w:val="24"/>
                <w:szCs w:val="24"/>
              </w:rPr>
              <w:t xml:space="preserve">Наказу Міністерства фінансів України від </w:t>
            </w:r>
            <w:r>
              <w:rPr>
                <w:sz w:val="24"/>
                <w:szCs w:val="24"/>
              </w:rPr>
              <w:t>28</w:t>
            </w:r>
            <w:r w:rsidRPr="00E759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січня</w:t>
            </w:r>
            <w:r w:rsidRPr="00E7594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</w:t>
            </w:r>
            <w:r w:rsidRPr="00E7594A">
              <w:rPr>
                <w:sz w:val="24"/>
                <w:szCs w:val="24"/>
              </w:rPr>
              <w:t>2 року № </w:t>
            </w:r>
            <w:r>
              <w:rPr>
                <w:sz w:val="24"/>
                <w:szCs w:val="24"/>
              </w:rPr>
              <w:t>57</w:t>
            </w:r>
            <w:r w:rsidRPr="00E7594A">
              <w:rPr>
                <w:sz w:val="24"/>
                <w:szCs w:val="24"/>
              </w:rPr>
              <w:t xml:space="preserve"> «Про </w:t>
            </w:r>
            <w:r>
              <w:rPr>
                <w:sz w:val="24"/>
                <w:szCs w:val="24"/>
              </w:rPr>
              <w:t>затвердження документів, що застосовуються в процесі виконання бюджету</w:t>
            </w:r>
            <w:r w:rsidRPr="00A24798">
              <w:rPr>
                <w:rStyle w:val="20"/>
                <w:color w:val="auto"/>
                <w:sz w:val="24"/>
                <w:szCs w:val="24"/>
              </w:rPr>
              <w:t>»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D67E7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60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з</w:t>
            </w:r>
            <w:r w:rsidRPr="00DA182A">
              <w:rPr>
                <w:color w:val="000000"/>
                <w:sz w:val="24"/>
                <w:szCs w:val="24"/>
              </w:rPr>
              <w:t>нання</w:t>
            </w:r>
            <w:r>
              <w:rPr>
                <w:color w:val="000000"/>
                <w:sz w:val="24"/>
                <w:szCs w:val="24"/>
              </w:rPr>
              <w:t>, необхідні для виконання посадових обов’язків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763" w:rsidRDefault="00EE7763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60" w:lineRule="auto"/>
              <w:ind w:left="136" w:right="125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E7763">
              <w:rPr>
                <w:sz w:val="24"/>
                <w:szCs w:val="24"/>
              </w:rPr>
              <w:t>нання у сфері практичного використання нормативно-правових актів, що регламентують порядок казначейського обслуговування бюджетних коштів</w:t>
            </w:r>
          </w:p>
          <w:p w:rsidR="00A37E38" w:rsidRPr="00FC1956" w:rsidRDefault="002D289E" w:rsidP="00AB6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60" w:lineRule="auto"/>
              <w:ind w:left="136" w:right="125" w:firstLine="284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 w:rsidR="00EE7763">
              <w:rPr>
                <w:color w:val="000000"/>
                <w:sz w:val="24"/>
                <w:szCs w:val="24"/>
              </w:rPr>
              <w:t>З</w:t>
            </w:r>
            <w:r w:rsidR="00EE7763" w:rsidRPr="00EE7763">
              <w:rPr>
                <w:sz w:val="24"/>
                <w:szCs w:val="24"/>
              </w:rPr>
              <w:t>нання основ бухгалтерського обліку та звітності за операціями по виконанню державного та місцевих бюджетів</w:t>
            </w:r>
          </w:p>
        </w:tc>
      </w:tr>
    </w:tbl>
    <w:p w:rsidR="00E04887" w:rsidRPr="00DA182A" w:rsidRDefault="00E04887" w:rsidP="00AB6DA1">
      <w:pPr>
        <w:spacing w:line="262" w:lineRule="auto"/>
        <w:ind w:left="5669" w:right="13" w:firstLine="0"/>
        <w:jc w:val="left"/>
        <w:rPr>
          <w:sz w:val="24"/>
          <w:szCs w:val="24"/>
        </w:rPr>
      </w:pPr>
    </w:p>
    <w:p w:rsidR="00E04887" w:rsidRPr="00E576A7" w:rsidRDefault="007B18B9" w:rsidP="00AB6DA1">
      <w:pPr>
        <w:ind w:firstLine="0"/>
        <w:jc w:val="center"/>
        <w:rPr>
          <w:color w:val="FFFFFF" w:themeColor="background1"/>
          <w:sz w:val="24"/>
          <w:szCs w:val="24"/>
        </w:rPr>
      </w:pPr>
      <w:r w:rsidRPr="00E576A7">
        <w:rPr>
          <w:color w:val="FFFFFF" w:themeColor="background1"/>
          <w:sz w:val="24"/>
          <w:szCs w:val="24"/>
        </w:rPr>
        <w:t>_______________________________</w:t>
      </w:r>
    </w:p>
    <w:p w:rsidR="00E04887" w:rsidRDefault="00E04887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E04887" w:rsidRDefault="00E04887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9"/>
      <w:footerReference w:type="default" r:id="rId10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3B" w:rsidRDefault="0015793B">
      <w:r>
        <w:separator/>
      </w:r>
    </w:p>
  </w:endnote>
  <w:endnote w:type="continuationSeparator" w:id="0">
    <w:p w:rsidR="0015793B" w:rsidRDefault="0015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48" w:rsidRDefault="00CC7848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3B" w:rsidRDefault="0015793B">
      <w:r>
        <w:separator/>
      </w:r>
    </w:p>
  </w:footnote>
  <w:footnote w:type="continuationSeparator" w:id="0">
    <w:p w:rsidR="0015793B" w:rsidRDefault="00157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87" w:rsidRDefault="00E04887">
    <w:pPr>
      <w:jc w:val="center"/>
    </w:pPr>
  </w:p>
  <w:p w:rsidR="00E04887" w:rsidRDefault="00E04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32"/>
    <w:multiLevelType w:val="multilevel"/>
    <w:tmpl w:val="1C6A7F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BF20ED"/>
    <w:multiLevelType w:val="multilevel"/>
    <w:tmpl w:val="B6C2AD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2104B8"/>
    <w:multiLevelType w:val="multilevel"/>
    <w:tmpl w:val="680C24C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420149"/>
    <w:multiLevelType w:val="multilevel"/>
    <w:tmpl w:val="DCEA9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33F31C9"/>
    <w:multiLevelType w:val="multilevel"/>
    <w:tmpl w:val="50C2924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E0228A"/>
    <w:multiLevelType w:val="hybridMultilevel"/>
    <w:tmpl w:val="637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21C65"/>
    <w:rsid w:val="0005460C"/>
    <w:rsid w:val="00060875"/>
    <w:rsid w:val="000629CD"/>
    <w:rsid w:val="00080D06"/>
    <w:rsid w:val="000E0663"/>
    <w:rsid w:val="00100AB4"/>
    <w:rsid w:val="00103A3A"/>
    <w:rsid w:val="00113BF6"/>
    <w:rsid w:val="001571A3"/>
    <w:rsid w:val="0015793B"/>
    <w:rsid w:val="001763F3"/>
    <w:rsid w:val="001C33F7"/>
    <w:rsid w:val="001E4B9E"/>
    <w:rsid w:val="001E7125"/>
    <w:rsid w:val="001F26F8"/>
    <w:rsid w:val="00225ED1"/>
    <w:rsid w:val="00235840"/>
    <w:rsid w:val="0027532A"/>
    <w:rsid w:val="002C0B54"/>
    <w:rsid w:val="002D289E"/>
    <w:rsid w:val="00360859"/>
    <w:rsid w:val="00367390"/>
    <w:rsid w:val="003B2F34"/>
    <w:rsid w:val="003D67E7"/>
    <w:rsid w:val="00490428"/>
    <w:rsid w:val="00492E2E"/>
    <w:rsid w:val="004F788A"/>
    <w:rsid w:val="005219B9"/>
    <w:rsid w:val="0058596C"/>
    <w:rsid w:val="005A1ED0"/>
    <w:rsid w:val="005A32B5"/>
    <w:rsid w:val="005A5184"/>
    <w:rsid w:val="005E5260"/>
    <w:rsid w:val="00620B45"/>
    <w:rsid w:val="00621C8C"/>
    <w:rsid w:val="006508B3"/>
    <w:rsid w:val="00654761"/>
    <w:rsid w:val="00656635"/>
    <w:rsid w:val="0067282C"/>
    <w:rsid w:val="006933BB"/>
    <w:rsid w:val="006B06E9"/>
    <w:rsid w:val="006B6FA4"/>
    <w:rsid w:val="00700555"/>
    <w:rsid w:val="00704029"/>
    <w:rsid w:val="00714C16"/>
    <w:rsid w:val="00770B4B"/>
    <w:rsid w:val="00784721"/>
    <w:rsid w:val="0079300F"/>
    <w:rsid w:val="007B18B9"/>
    <w:rsid w:val="007E33F3"/>
    <w:rsid w:val="0080097D"/>
    <w:rsid w:val="00846E3C"/>
    <w:rsid w:val="00867B11"/>
    <w:rsid w:val="00893019"/>
    <w:rsid w:val="008C0795"/>
    <w:rsid w:val="008C383D"/>
    <w:rsid w:val="008D7200"/>
    <w:rsid w:val="008D79DB"/>
    <w:rsid w:val="009271EB"/>
    <w:rsid w:val="00980D71"/>
    <w:rsid w:val="00997E2B"/>
    <w:rsid w:val="009A784E"/>
    <w:rsid w:val="009C5C85"/>
    <w:rsid w:val="00A24798"/>
    <w:rsid w:val="00A37E38"/>
    <w:rsid w:val="00A4661B"/>
    <w:rsid w:val="00A46C0B"/>
    <w:rsid w:val="00A56EBA"/>
    <w:rsid w:val="00A932C9"/>
    <w:rsid w:val="00AB6DA1"/>
    <w:rsid w:val="00AF60B6"/>
    <w:rsid w:val="00B12351"/>
    <w:rsid w:val="00B332C2"/>
    <w:rsid w:val="00B35B2E"/>
    <w:rsid w:val="00B8738F"/>
    <w:rsid w:val="00BA4A1D"/>
    <w:rsid w:val="00BB4B92"/>
    <w:rsid w:val="00BE3EDB"/>
    <w:rsid w:val="00C724C4"/>
    <w:rsid w:val="00C75F37"/>
    <w:rsid w:val="00C823E1"/>
    <w:rsid w:val="00C82989"/>
    <w:rsid w:val="00C95B72"/>
    <w:rsid w:val="00CC7848"/>
    <w:rsid w:val="00CD139E"/>
    <w:rsid w:val="00D0755A"/>
    <w:rsid w:val="00D3506F"/>
    <w:rsid w:val="00D71277"/>
    <w:rsid w:val="00DA182A"/>
    <w:rsid w:val="00DC79EE"/>
    <w:rsid w:val="00DF0BE9"/>
    <w:rsid w:val="00E011C8"/>
    <w:rsid w:val="00E04887"/>
    <w:rsid w:val="00E331A9"/>
    <w:rsid w:val="00E576A7"/>
    <w:rsid w:val="00E61957"/>
    <w:rsid w:val="00EC3668"/>
    <w:rsid w:val="00EE69F6"/>
    <w:rsid w:val="00EE7763"/>
    <w:rsid w:val="00F109AE"/>
    <w:rsid w:val="00F242FB"/>
    <w:rsid w:val="00F326E6"/>
    <w:rsid w:val="00F96BC1"/>
    <w:rsid w:val="00FB0020"/>
    <w:rsid w:val="00FB3376"/>
    <w:rsid w:val="00FB3ABF"/>
    <w:rsid w:val="00FC1956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  <w:style w:type="character" w:customStyle="1" w:styleId="20">
    <w:name w:val="Основной текст (2)"/>
    <w:basedOn w:val="a0"/>
    <w:rsid w:val="000E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d">
    <w:name w:val="List Paragraph"/>
    <w:basedOn w:val="a"/>
    <w:uiPriority w:val="34"/>
    <w:qFormat/>
    <w:rsid w:val="00F109AE"/>
    <w:pPr>
      <w:ind w:left="720" w:firstLine="0"/>
      <w:contextualSpacing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rsid w:val="00A37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52</cp:revision>
  <cp:lastPrinted>2021-05-13T11:28:00Z</cp:lastPrinted>
  <dcterms:created xsi:type="dcterms:W3CDTF">2021-02-09T14:59:00Z</dcterms:created>
  <dcterms:modified xsi:type="dcterms:W3CDTF">2021-05-14T07:35:00Z</dcterms:modified>
</cp:coreProperties>
</file>