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48" w:rsidRPr="00E81F91" w:rsidRDefault="00E81E48" w:rsidP="00E81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080D" w:rsidRPr="00E81F91" w:rsidRDefault="00E81F91" w:rsidP="00E81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81F91">
        <w:rPr>
          <w:rFonts w:ascii="Times New Roman" w:hAnsi="Times New Roman" w:cs="Times New Roman"/>
          <w:b/>
          <w:sz w:val="28"/>
          <w:szCs w:val="28"/>
          <w:lang w:val="uk-UA"/>
        </w:rPr>
        <w:t>Пам’ятка користувача СДО</w:t>
      </w:r>
    </w:p>
    <w:p w:rsidR="00B6080D" w:rsidRPr="00E81F91" w:rsidRDefault="00E81F91" w:rsidP="00E81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81F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заміни агенту підпису </w:t>
      </w:r>
      <w:proofErr w:type="spellStart"/>
      <w:r w:rsidRPr="00E81F91">
        <w:rPr>
          <w:rFonts w:ascii="Times New Roman" w:hAnsi="Times New Roman" w:cs="Times New Roman"/>
          <w:b/>
          <w:sz w:val="28"/>
          <w:szCs w:val="28"/>
          <w:lang w:val="uk-UA"/>
        </w:rPr>
        <w:t>BarsCryptor</w:t>
      </w:r>
      <w:proofErr w:type="spellEnd"/>
    </w:p>
    <w:p w:rsidR="00B6080D" w:rsidRPr="00E81F91" w:rsidRDefault="00E81F91" w:rsidP="00E81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1F91">
        <w:rPr>
          <w:rFonts w:ascii="Times New Roman" w:hAnsi="Times New Roman" w:cs="Times New Roman"/>
          <w:b/>
          <w:sz w:val="28"/>
          <w:szCs w:val="28"/>
          <w:lang w:val="uk-UA"/>
        </w:rPr>
        <w:t>на агент підпису виробництва</w:t>
      </w:r>
    </w:p>
    <w:p w:rsidR="00B6080D" w:rsidRPr="00E81F91" w:rsidRDefault="00E81F91" w:rsidP="00E81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1F91">
        <w:rPr>
          <w:rFonts w:ascii="Times New Roman" w:hAnsi="Times New Roman" w:cs="Times New Roman"/>
          <w:b/>
          <w:sz w:val="28"/>
          <w:szCs w:val="28"/>
          <w:lang w:val="uk-UA"/>
        </w:rPr>
        <w:t>ПАТ  «Інститут інформаційних технологій»</w:t>
      </w:r>
    </w:p>
    <w:p w:rsidR="00B6080D" w:rsidRPr="00E81F91" w:rsidRDefault="00B6080D" w:rsidP="00E81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1E48" w:rsidRPr="00E81F91" w:rsidRDefault="00E81E48" w:rsidP="00E81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E81F91" w:rsidP="00E81E48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F91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переходу:</w:t>
      </w:r>
      <w:r w:rsidRPr="00E81F91">
        <w:rPr>
          <w:rFonts w:ascii="Times New Roman" w:hAnsi="Times New Roman" w:cs="Times New Roman"/>
          <w:sz w:val="28"/>
          <w:szCs w:val="28"/>
          <w:lang w:val="uk-UA"/>
        </w:rPr>
        <w:t xml:space="preserve"> посилення рівня </w:t>
      </w:r>
      <w:proofErr w:type="spellStart"/>
      <w:r w:rsidRPr="00E81F91">
        <w:rPr>
          <w:rFonts w:ascii="Times New Roman" w:hAnsi="Times New Roman" w:cs="Times New Roman"/>
          <w:sz w:val="28"/>
          <w:szCs w:val="28"/>
          <w:lang w:val="uk-UA"/>
        </w:rPr>
        <w:t>кібербезпеки</w:t>
      </w:r>
      <w:proofErr w:type="spellEnd"/>
      <w:r w:rsidRPr="00E81F91">
        <w:rPr>
          <w:rFonts w:ascii="Times New Roman" w:hAnsi="Times New Roman" w:cs="Times New Roman"/>
          <w:sz w:val="28"/>
          <w:szCs w:val="28"/>
          <w:lang w:val="uk-UA"/>
        </w:rPr>
        <w:t xml:space="preserve"> в інформаційно-комунікаційній системі Державної казначейської служби України.</w:t>
      </w:r>
    </w:p>
    <w:p w:rsidR="00B6080D" w:rsidRPr="00E81F91" w:rsidRDefault="00B6080D" w:rsidP="00E81E48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E81F91" w:rsidP="00E81E48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F9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Зміни:</w:t>
      </w:r>
      <w:r w:rsidRPr="00E81F91">
        <w:rPr>
          <w:rFonts w:ascii="Times New Roman" w:hAnsi="Times New Roman" w:cs="Times New Roman"/>
          <w:sz w:val="28"/>
          <w:szCs w:val="28"/>
          <w:lang w:val="uk-UA"/>
        </w:rPr>
        <w:t xml:space="preserve"> заміна агенту підпису </w:t>
      </w:r>
      <w:proofErr w:type="spellStart"/>
      <w:r w:rsidRPr="00E81F91">
        <w:rPr>
          <w:rFonts w:ascii="Times New Roman" w:hAnsi="Times New Roman" w:cs="Times New Roman"/>
          <w:sz w:val="28"/>
          <w:szCs w:val="28"/>
          <w:lang w:val="uk-UA"/>
        </w:rPr>
        <w:t>BarsCryptor</w:t>
      </w:r>
      <w:proofErr w:type="spellEnd"/>
      <w:r w:rsidRPr="00E81F91">
        <w:rPr>
          <w:rFonts w:ascii="Times New Roman" w:hAnsi="Times New Roman" w:cs="Times New Roman"/>
          <w:sz w:val="28"/>
          <w:szCs w:val="28"/>
          <w:lang w:val="uk-UA"/>
        </w:rPr>
        <w:t xml:space="preserve"> на агент підпису виробництва ПАТ  «Інститут інформаційних технологій»  не впливає та не змінює функціональних можливостей СДО, не потребує  зміни кваліфікованих електронних підписів та формування нових сертифікатів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користувачів</w:t>
      </w:r>
      <w:r w:rsidRPr="00E81F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080D" w:rsidRPr="00E81F91" w:rsidRDefault="00B6080D" w:rsidP="00E81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E81F91" w:rsidP="00E81E48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1F91">
        <w:rPr>
          <w:rFonts w:ascii="Times New Roman" w:hAnsi="Times New Roman" w:cs="Times New Roman"/>
          <w:b/>
          <w:bCs/>
          <w:sz w:val="28"/>
          <w:szCs w:val="28"/>
          <w:lang w:val="uk-UA"/>
        </w:rPr>
        <w:t>Дії користувачів:</w:t>
      </w:r>
    </w:p>
    <w:p w:rsidR="00B6080D" w:rsidRPr="00E81F91" w:rsidRDefault="00E81F91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F91">
        <w:rPr>
          <w:rFonts w:ascii="Times New Roman" w:hAnsi="Times New Roman" w:cs="Times New Roman"/>
          <w:sz w:val="28"/>
          <w:szCs w:val="28"/>
          <w:lang w:val="uk-UA"/>
        </w:rPr>
        <w:t>Завантаж</w:t>
      </w:r>
      <w:r w:rsidR="00E81E48" w:rsidRPr="00E81F91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E81F91">
        <w:rPr>
          <w:rFonts w:ascii="Times New Roman" w:hAnsi="Times New Roman" w:cs="Times New Roman"/>
          <w:sz w:val="28"/>
          <w:szCs w:val="28"/>
          <w:lang w:val="uk-UA"/>
        </w:rPr>
        <w:t xml:space="preserve"> агенту підпису ІІТ з стартової сторінки СДО </w:t>
      </w:r>
    </w:p>
    <w:p w:rsidR="00E81E48" w:rsidRPr="00E81F91" w:rsidRDefault="00E81E48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F91">
        <w:rPr>
          <w:rFonts w:ascii="Times New Roman" w:hAnsi="Times New Roman" w:cs="Times New Roman"/>
          <w:sz w:val="28"/>
          <w:szCs w:val="28"/>
          <w:lang w:val="uk-UA"/>
        </w:rPr>
        <w:t>(</w:t>
      </w:r>
      <w:hyperlink r:id="rId5" w:history="1">
        <w:r w:rsidR="00A62D7A" w:rsidRPr="00E81F91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https://sdo.treasury.gov.ua/sdo</w:t>
        </w:r>
      </w:hyperlink>
      <w:r w:rsidRPr="00E81F9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6080D" w:rsidRPr="00E81F91" w:rsidRDefault="00E81E48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F91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96520</wp:posOffset>
            </wp:positionV>
            <wp:extent cx="3727450" cy="2882265"/>
            <wp:effectExtent l="19050" t="0" r="635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288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080D" w:rsidRPr="00E81F91" w:rsidRDefault="00B6080D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B6080D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B6080D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B6080D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B6080D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B6080D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B6080D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B6080D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B6080D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B6080D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B6080D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DB7604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pict>
          <v:rect id="_x0000_s1027" style="position:absolute;left:0;text-align:left;margin-left:-285.1pt;margin-top:7.65pt;width:145.15pt;height:14.05pt;z-index:251661312" filled="f" strokecolor="red" strokeweight="2pt"/>
        </w:pict>
      </w:r>
    </w:p>
    <w:p w:rsidR="00B6080D" w:rsidRPr="00E81F91" w:rsidRDefault="00B6080D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B6080D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1E48" w:rsidRPr="00E81F91" w:rsidRDefault="00E81E48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F91">
        <w:rPr>
          <w:rFonts w:ascii="Times New Roman" w:hAnsi="Times New Roman" w:cs="Times New Roman"/>
          <w:sz w:val="28"/>
          <w:szCs w:val="28"/>
          <w:lang w:val="uk-UA"/>
        </w:rPr>
        <w:t>Завантаження</w:t>
      </w:r>
      <w:r w:rsidR="00E81F91" w:rsidRPr="00E81F91">
        <w:rPr>
          <w:rFonts w:ascii="Times New Roman" w:hAnsi="Times New Roman" w:cs="Times New Roman"/>
          <w:sz w:val="28"/>
          <w:szCs w:val="28"/>
          <w:lang w:val="uk-UA"/>
        </w:rPr>
        <w:t xml:space="preserve"> агенту підпису ІІТ з сайту ПАТ ІІТ </w:t>
      </w:r>
    </w:p>
    <w:p w:rsidR="00B6080D" w:rsidRPr="00E81F91" w:rsidRDefault="00E81F91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F91">
        <w:rPr>
          <w:rFonts w:ascii="Times New Roman" w:hAnsi="Times New Roman" w:cs="Times New Roman"/>
          <w:sz w:val="28"/>
          <w:szCs w:val="28"/>
          <w:lang w:val="uk-UA"/>
        </w:rPr>
        <w:t>(</w:t>
      </w:r>
      <w:hyperlink r:id="rId7">
        <w:r w:rsidRPr="00E81F91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https://iit.com.ua/downloads</w:t>
        </w:r>
      </w:hyperlink>
      <w:r w:rsidRPr="00E81F9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6080D" w:rsidRPr="00E81F91" w:rsidRDefault="00E81E48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F91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207645</wp:posOffset>
            </wp:positionV>
            <wp:extent cx="5151755" cy="2178685"/>
            <wp:effectExtent l="1905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217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080D" w:rsidRPr="00E81F91" w:rsidRDefault="00B6080D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B6080D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B6080D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E81E48" w:rsidRPr="00E81F91" w:rsidRDefault="00E81E48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E81E48" w:rsidRPr="00E81F91" w:rsidRDefault="00E81E48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E81E48" w:rsidRPr="00E81F91" w:rsidRDefault="00E81E48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E81E48" w:rsidRPr="00E81F91" w:rsidRDefault="00E81E48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E81E48" w:rsidRPr="00E81F91" w:rsidRDefault="00E81E48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E81E48" w:rsidRPr="00E81F91" w:rsidRDefault="00E81E48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E81E48" w:rsidRPr="00E81F91" w:rsidRDefault="00DB7604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pict>
          <v:rect id="_x0000_s1026" style="position:absolute;left:0;text-align:left;margin-left:-396.85pt;margin-top:.55pt;width:371.4pt;height:24.6pt;z-index:251660288" filled="f" strokecolor="red" strokeweight="2pt"/>
        </w:pict>
      </w:r>
    </w:p>
    <w:p w:rsidR="00E81E48" w:rsidRPr="00E81F91" w:rsidRDefault="00E81E48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E81E48" w:rsidRPr="00E81F91" w:rsidRDefault="00E81E48" w:rsidP="00311A1C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E81F91" w:rsidRPr="00E81F91" w:rsidRDefault="00E81F91" w:rsidP="00311A1C">
      <w:pPr>
        <w:pStyle w:val="2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0" w:name="_Toc41395385"/>
    </w:p>
    <w:p w:rsidR="00311A1C" w:rsidRPr="00E81F91" w:rsidRDefault="00311A1C" w:rsidP="00311A1C">
      <w:pPr>
        <w:pStyle w:val="2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81F9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Встановлення агенту підпису ІІТ </w:t>
      </w:r>
      <w:bookmarkEnd w:id="0"/>
    </w:p>
    <w:p w:rsidR="00311A1C" w:rsidRPr="00E81F91" w:rsidRDefault="00311A1C" w:rsidP="00311A1C">
      <w:pPr>
        <w:pStyle w:val="ae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F91">
        <w:rPr>
          <w:rFonts w:ascii="Times New Roman" w:hAnsi="Times New Roman" w:cs="Times New Roman"/>
          <w:sz w:val="28"/>
          <w:szCs w:val="28"/>
          <w:lang w:val="uk-UA"/>
        </w:rPr>
        <w:t>Для інсталяції програми необхідно запустити програму інсталяції (майстер інсталяції) EUSignWebInstall.exe.</w:t>
      </w:r>
    </w:p>
    <w:p w:rsidR="00311A1C" w:rsidRPr="00E81F91" w:rsidRDefault="00311A1C" w:rsidP="00311A1C">
      <w:pPr>
        <w:pStyle w:val="ae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F91">
        <w:rPr>
          <w:rFonts w:ascii="Times New Roman" w:hAnsi="Times New Roman" w:cs="Times New Roman"/>
          <w:sz w:val="28"/>
          <w:szCs w:val="28"/>
          <w:lang w:val="uk-UA"/>
        </w:rPr>
        <w:t xml:space="preserve">Після запуску програми інсталяції на першій сторінці виводиться інформація про початок інсталяції. Для продовження інсталяції необхідно натиснути кнопку </w:t>
      </w:r>
      <w:proofErr w:type="spellStart"/>
      <w:r w:rsidRPr="00E81F91">
        <w:rPr>
          <w:rFonts w:ascii="Times New Roman" w:hAnsi="Times New Roman" w:cs="Times New Roman"/>
          <w:sz w:val="28"/>
          <w:szCs w:val="28"/>
          <w:lang w:val="uk-UA"/>
        </w:rPr>
        <w:t>“Далі”</w:t>
      </w:r>
      <w:proofErr w:type="spellEnd"/>
      <w:r w:rsidR="008979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1A1C" w:rsidRPr="00E81F91" w:rsidRDefault="00311A1C" w:rsidP="00311A1C">
      <w:pPr>
        <w:pStyle w:val="af2"/>
        <w:ind w:firstLine="851"/>
        <w:rPr>
          <w:rFonts w:ascii="Times New Roman" w:hAnsi="Times New Roman"/>
          <w:sz w:val="28"/>
        </w:rPr>
      </w:pPr>
      <w:r w:rsidRPr="00E81F91">
        <w:rPr>
          <w:rFonts w:ascii="Times New Roman" w:hAnsi="Times New Roman"/>
          <w:noProof/>
          <w:sz w:val="28"/>
          <w:lang w:eastAsia="uk-UA"/>
        </w:rPr>
        <w:drawing>
          <wp:inline distT="0" distB="0" distL="0" distR="0">
            <wp:extent cx="4204204" cy="3240000"/>
            <wp:effectExtent l="19050" t="0" r="5846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204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A1C" w:rsidRPr="00E81F91" w:rsidRDefault="00311A1C" w:rsidP="00311A1C">
      <w:pPr>
        <w:pStyle w:val="ae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A1C" w:rsidRPr="00E81F91" w:rsidRDefault="00311A1C" w:rsidP="00311A1C">
      <w:pPr>
        <w:pStyle w:val="ae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F91">
        <w:rPr>
          <w:rFonts w:ascii="Times New Roman" w:hAnsi="Times New Roman" w:cs="Times New Roman"/>
          <w:sz w:val="28"/>
          <w:szCs w:val="28"/>
          <w:lang w:val="uk-UA"/>
        </w:rPr>
        <w:t xml:space="preserve">На наступній сторінці майстра необхідно ознайомитись з ліцензійною угодою щодо використання програми та погодитись. Для продовження інсталяції необхідно встановити позначку “Я приймаю цю </w:t>
      </w:r>
      <w:proofErr w:type="spellStart"/>
      <w:r w:rsidRPr="00E81F91">
        <w:rPr>
          <w:rFonts w:ascii="Times New Roman" w:hAnsi="Times New Roman" w:cs="Times New Roman"/>
          <w:sz w:val="28"/>
          <w:szCs w:val="28"/>
          <w:lang w:val="uk-UA"/>
        </w:rPr>
        <w:t>угоду”</w:t>
      </w:r>
      <w:proofErr w:type="spellEnd"/>
      <w:r w:rsidRPr="00E81F91">
        <w:rPr>
          <w:rFonts w:ascii="Times New Roman" w:hAnsi="Times New Roman" w:cs="Times New Roman"/>
          <w:sz w:val="28"/>
          <w:szCs w:val="28"/>
          <w:lang w:val="uk-UA"/>
        </w:rPr>
        <w:t xml:space="preserve"> та натиснути кнопку </w:t>
      </w:r>
      <w:proofErr w:type="spellStart"/>
      <w:r w:rsidRPr="00E81F91">
        <w:rPr>
          <w:rFonts w:ascii="Times New Roman" w:hAnsi="Times New Roman" w:cs="Times New Roman"/>
          <w:sz w:val="28"/>
          <w:szCs w:val="28"/>
          <w:lang w:val="uk-UA"/>
        </w:rPr>
        <w:t>“Далі”</w:t>
      </w:r>
      <w:proofErr w:type="spellEnd"/>
      <w:r w:rsidRPr="00E81F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1A1C" w:rsidRPr="00E81F91" w:rsidRDefault="00311A1C" w:rsidP="00311A1C">
      <w:pPr>
        <w:pStyle w:val="af0"/>
        <w:ind w:firstLine="851"/>
        <w:rPr>
          <w:rFonts w:ascii="Times New Roman" w:hAnsi="Times New Roman"/>
          <w:sz w:val="28"/>
        </w:rPr>
      </w:pPr>
      <w:r w:rsidRPr="00E81F91">
        <w:rPr>
          <w:rFonts w:ascii="Times New Roman" w:hAnsi="Times New Roman"/>
          <w:noProof/>
          <w:sz w:val="28"/>
          <w:lang w:eastAsia="uk-UA"/>
        </w:rPr>
        <w:drawing>
          <wp:inline distT="0" distB="0" distL="0" distR="0">
            <wp:extent cx="4208798" cy="3240000"/>
            <wp:effectExtent l="19050" t="0" r="1252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798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A1C" w:rsidRPr="00E81F91" w:rsidRDefault="00311A1C" w:rsidP="00311A1C">
      <w:pPr>
        <w:pStyle w:val="ae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A1C" w:rsidRPr="00E81F91" w:rsidRDefault="00311A1C" w:rsidP="00311A1C">
      <w:pPr>
        <w:pStyle w:val="ae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A1C" w:rsidRPr="00E81F91" w:rsidRDefault="00311A1C" w:rsidP="00311A1C">
      <w:pPr>
        <w:pStyle w:val="ae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F91">
        <w:rPr>
          <w:rFonts w:ascii="Times New Roman" w:hAnsi="Times New Roman" w:cs="Times New Roman"/>
          <w:sz w:val="28"/>
          <w:szCs w:val="28"/>
          <w:lang w:val="uk-UA"/>
        </w:rPr>
        <w:t xml:space="preserve">На наступній сторінці майстра за необхідністю можна вказати каталог на диску до якого буде встановлено програму. Для продовження інсталяції необхідно натиснути кнопку </w:t>
      </w:r>
      <w:proofErr w:type="spellStart"/>
      <w:r w:rsidRPr="00E81F91">
        <w:rPr>
          <w:rFonts w:ascii="Times New Roman" w:hAnsi="Times New Roman" w:cs="Times New Roman"/>
          <w:sz w:val="28"/>
          <w:szCs w:val="28"/>
          <w:lang w:val="uk-UA"/>
        </w:rPr>
        <w:t>“Далі”</w:t>
      </w:r>
      <w:proofErr w:type="spellEnd"/>
      <w:r w:rsidRPr="00E81F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1A1C" w:rsidRPr="00E81F91" w:rsidRDefault="00311A1C" w:rsidP="00311A1C">
      <w:pPr>
        <w:pStyle w:val="af2"/>
        <w:ind w:firstLine="851"/>
        <w:rPr>
          <w:rFonts w:ascii="Times New Roman" w:hAnsi="Times New Roman"/>
          <w:sz w:val="28"/>
        </w:rPr>
      </w:pPr>
      <w:r w:rsidRPr="00E81F91">
        <w:rPr>
          <w:rFonts w:ascii="Times New Roman" w:hAnsi="Times New Roman"/>
          <w:noProof/>
          <w:sz w:val="28"/>
          <w:lang w:eastAsia="uk-UA"/>
        </w:rPr>
        <w:drawing>
          <wp:inline distT="0" distB="0" distL="0" distR="0">
            <wp:extent cx="4199164" cy="3240000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164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A1C" w:rsidRPr="00E81F91" w:rsidRDefault="00311A1C" w:rsidP="00311A1C">
      <w:pPr>
        <w:pStyle w:val="ae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A1C" w:rsidRPr="00E81F91" w:rsidRDefault="00311A1C" w:rsidP="00311A1C">
      <w:pPr>
        <w:pStyle w:val="ae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F91">
        <w:rPr>
          <w:rFonts w:ascii="Times New Roman" w:hAnsi="Times New Roman" w:cs="Times New Roman"/>
          <w:sz w:val="28"/>
          <w:szCs w:val="28"/>
          <w:lang w:val="uk-UA"/>
        </w:rPr>
        <w:t xml:space="preserve">На наступній сторінці майстра за необхідністю можна вказати розділ меню </w:t>
      </w:r>
      <w:proofErr w:type="spellStart"/>
      <w:r w:rsidRPr="00E81F91">
        <w:rPr>
          <w:rFonts w:ascii="Times New Roman" w:hAnsi="Times New Roman" w:cs="Times New Roman"/>
          <w:sz w:val="28"/>
          <w:szCs w:val="28"/>
          <w:lang w:val="uk-UA"/>
        </w:rPr>
        <w:t>“Пуск”</w:t>
      </w:r>
      <w:proofErr w:type="spellEnd"/>
      <w:r w:rsidRPr="00E81F91">
        <w:rPr>
          <w:rFonts w:ascii="Times New Roman" w:hAnsi="Times New Roman" w:cs="Times New Roman"/>
          <w:sz w:val="28"/>
          <w:szCs w:val="28"/>
          <w:lang w:val="uk-UA"/>
        </w:rPr>
        <w:t xml:space="preserve"> до якого буде встановлено значки запуску та деінсталяції програми. Для продовження інсталяції необхідно натиснути кнопку </w:t>
      </w:r>
      <w:proofErr w:type="spellStart"/>
      <w:r w:rsidRPr="00E81F91">
        <w:rPr>
          <w:rFonts w:ascii="Times New Roman" w:hAnsi="Times New Roman" w:cs="Times New Roman"/>
          <w:sz w:val="28"/>
          <w:szCs w:val="28"/>
          <w:lang w:val="uk-UA"/>
        </w:rPr>
        <w:t>“Далі”</w:t>
      </w:r>
      <w:proofErr w:type="spellEnd"/>
      <w:r w:rsidRPr="00E81F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1A1C" w:rsidRPr="00E81F91" w:rsidRDefault="00311A1C" w:rsidP="00311A1C">
      <w:pPr>
        <w:pStyle w:val="af2"/>
        <w:ind w:firstLine="851"/>
        <w:rPr>
          <w:rFonts w:ascii="Times New Roman" w:hAnsi="Times New Roman"/>
          <w:sz w:val="28"/>
        </w:rPr>
      </w:pPr>
      <w:r w:rsidRPr="00E81F91">
        <w:rPr>
          <w:rFonts w:ascii="Times New Roman" w:hAnsi="Times New Roman"/>
          <w:noProof/>
          <w:sz w:val="28"/>
          <w:lang w:eastAsia="uk-UA"/>
        </w:rPr>
        <w:drawing>
          <wp:inline distT="0" distB="0" distL="0" distR="0">
            <wp:extent cx="4201071" cy="3240000"/>
            <wp:effectExtent l="19050" t="0" r="8979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071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A1C" w:rsidRPr="00E81F91" w:rsidRDefault="00311A1C" w:rsidP="00311A1C">
      <w:pPr>
        <w:pStyle w:val="ae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A1C" w:rsidRPr="00E81F91" w:rsidRDefault="00311A1C" w:rsidP="00311A1C">
      <w:pPr>
        <w:pStyle w:val="ae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A1C" w:rsidRPr="00E81F91" w:rsidRDefault="00311A1C" w:rsidP="00311A1C">
      <w:pPr>
        <w:pStyle w:val="ae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1F91" w:rsidRPr="00E81F91" w:rsidRDefault="00E81F91" w:rsidP="00311A1C">
      <w:pPr>
        <w:pStyle w:val="ae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1F91" w:rsidRPr="00E81F91" w:rsidRDefault="00E81F91" w:rsidP="00311A1C">
      <w:pPr>
        <w:pStyle w:val="ae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A1C" w:rsidRPr="00E81F91" w:rsidRDefault="00311A1C" w:rsidP="00311A1C">
      <w:pPr>
        <w:pStyle w:val="ae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F91">
        <w:rPr>
          <w:rFonts w:ascii="Times New Roman" w:hAnsi="Times New Roman" w:cs="Times New Roman"/>
          <w:sz w:val="28"/>
          <w:szCs w:val="28"/>
          <w:lang w:val="uk-UA"/>
        </w:rPr>
        <w:t xml:space="preserve">На наступній сторінці майстра потрібно встановити признаки необхідності виконання майстром додаткових завдань – створення значку запуску програми на робочому столі. Для продовження інсталяції необхідно натиснути кнопку </w:t>
      </w:r>
      <w:proofErr w:type="spellStart"/>
      <w:r w:rsidRPr="00E81F91">
        <w:rPr>
          <w:rFonts w:ascii="Times New Roman" w:hAnsi="Times New Roman" w:cs="Times New Roman"/>
          <w:sz w:val="28"/>
          <w:szCs w:val="28"/>
          <w:lang w:val="uk-UA"/>
        </w:rPr>
        <w:t>“Далі”</w:t>
      </w:r>
      <w:proofErr w:type="spellEnd"/>
      <w:r w:rsidRPr="00E81F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1E48" w:rsidRPr="00E81F91" w:rsidRDefault="00311A1C" w:rsidP="00311A1C">
      <w:pPr>
        <w:pStyle w:val="af2"/>
        <w:ind w:firstLine="851"/>
        <w:rPr>
          <w:rFonts w:ascii="Times New Roman" w:hAnsi="Times New Roman"/>
          <w:noProof/>
          <w:sz w:val="28"/>
          <w:lang w:eastAsia="ru-RU"/>
        </w:rPr>
      </w:pPr>
      <w:r w:rsidRPr="00E81F91">
        <w:rPr>
          <w:rFonts w:ascii="Times New Roman" w:hAnsi="Times New Roman"/>
          <w:noProof/>
          <w:sz w:val="28"/>
          <w:lang w:eastAsia="uk-UA"/>
        </w:rPr>
        <w:drawing>
          <wp:inline distT="0" distB="0" distL="0" distR="0">
            <wp:extent cx="4389177" cy="3240000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77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E48" w:rsidRPr="00E81F91" w:rsidRDefault="00E81E48" w:rsidP="00E81E48">
      <w:pPr>
        <w:pStyle w:val="ac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A62D7A" w:rsidRPr="00E81F91" w:rsidRDefault="00311A1C" w:rsidP="00A62D7A">
      <w:pPr>
        <w:pStyle w:val="ac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81F9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Після завершення роботи майстра інсталяції можна </w:t>
      </w:r>
      <w:r w:rsidR="00A62D7A" w:rsidRPr="00E81F9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працювати в СДО за посиланням  - </w:t>
      </w:r>
      <w:hyperlink r:id="rId14" w:history="1">
        <w:r w:rsidR="00A62D7A" w:rsidRPr="00E81F91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https://sdo.treasury.gov.ua/sdo</w:t>
        </w:r>
      </w:hyperlink>
      <w:r w:rsidR="00A62D7A" w:rsidRPr="00E81F91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A62D7A" w:rsidRPr="00E81F91" w:rsidRDefault="00A62D7A" w:rsidP="00A62D7A">
      <w:pPr>
        <w:pStyle w:val="ac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E81E48" w:rsidRPr="00E81F91" w:rsidRDefault="00A62D7A" w:rsidP="00A62D7A">
      <w:pPr>
        <w:pStyle w:val="ac"/>
        <w:spacing w:after="0" w:line="240" w:lineRule="auto"/>
        <w:ind w:left="0" w:firstLine="108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81F91">
        <w:rPr>
          <w:rFonts w:ascii="Times New Roman" w:hAnsi="Times New Roman" w:cs="Times New Roman"/>
          <w:sz w:val="28"/>
          <w:szCs w:val="28"/>
          <w:lang w:val="uk-UA"/>
        </w:rPr>
        <w:t>Для входу в СДО необхідно  обрати «тип носія», «назву носія» та ввести пароль особистого ключа</w:t>
      </w:r>
    </w:p>
    <w:p w:rsidR="00311A1C" w:rsidRPr="00E81F91" w:rsidRDefault="00A62D7A" w:rsidP="00E81E48">
      <w:pPr>
        <w:pStyle w:val="ac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81F9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:rsidR="00E81E48" w:rsidRPr="00E81F91" w:rsidRDefault="00A62D7A" w:rsidP="00E81E48">
      <w:pPr>
        <w:pStyle w:val="ac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81F91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0" distR="0" simplePos="0" relativeHeight="251663360" behindDoc="0" locked="0" layoutInCell="0" allowOverlap="1">
            <wp:simplePos x="0" y="0"/>
            <wp:positionH relativeFrom="column">
              <wp:posOffset>636905</wp:posOffset>
            </wp:positionH>
            <wp:positionV relativeFrom="paragraph">
              <wp:posOffset>33655</wp:posOffset>
            </wp:positionV>
            <wp:extent cx="4739640" cy="2196465"/>
            <wp:effectExtent l="19050" t="0" r="3810" b="0"/>
            <wp:wrapSquare wrapText="largest"/>
            <wp:docPr id="11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219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1E48" w:rsidRPr="00E81F91" w:rsidRDefault="00E81E48" w:rsidP="00E81E48">
      <w:pPr>
        <w:pStyle w:val="ac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E81E48" w:rsidRPr="00E81F91" w:rsidRDefault="00E81E48" w:rsidP="00E81E48">
      <w:pPr>
        <w:pStyle w:val="ac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E81E48" w:rsidRPr="00E81F91" w:rsidRDefault="00E81E48" w:rsidP="00E81E48">
      <w:pPr>
        <w:pStyle w:val="ac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E81E48" w:rsidRPr="00E81F91" w:rsidRDefault="00E81E48" w:rsidP="00E81E48">
      <w:pPr>
        <w:pStyle w:val="ac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B6080D" w:rsidP="00E81E48">
      <w:pPr>
        <w:pStyle w:val="ac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B6080D" w:rsidP="00E81E48">
      <w:pPr>
        <w:pStyle w:val="ac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B6080D" w:rsidP="00E81E48">
      <w:pPr>
        <w:pStyle w:val="ac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1E48" w:rsidRPr="00E81F91" w:rsidRDefault="00E81E48" w:rsidP="00E81E48">
      <w:pPr>
        <w:pStyle w:val="ac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1E48" w:rsidRPr="00E81F91" w:rsidRDefault="00E81E48" w:rsidP="00E81E48">
      <w:pPr>
        <w:pStyle w:val="ac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1E48" w:rsidRPr="00E81F91" w:rsidRDefault="00E81E48" w:rsidP="00E81E48">
      <w:pPr>
        <w:pStyle w:val="ac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1E48" w:rsidRPr="00E81F91" w:rsidRDefault="00E81E48" w:rsidP="00E81E48">
      <w:pPr>
        <w:pStyle w:val="ac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1E48" w:rsidRPr="00E81F91" w:rsidRDefault="00E81E48" w:rsidP="00E81E48">
      <w:pPr>
        <w:pStyle w:val="ac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1E48" w:rsidRPr="00E81F91" w:rsidRDefault="00E81E48" w:rsidP="00E81E48">
      <w:pPr>
        <w:pStyle w:val="ac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1E48" w:rsidRPr="00E81F91" w:rsidRDefault="00E81E48" w:rsidP="00E81E48">
      <w:pPr>
        <w:pStyle w:val="ac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A1C" w:rsidRPr="00E81F91" w:rsidRDefault="00311A1C" w:rsidP="00E81E48">
      <w:pPr>
        <w:pStyle w:val="ac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A1C" w:rsidRPr="00E81F91" w:rsidRDefault="00311A1C" w:rsidP="00E81E48">
      <w:pPr>
        <w:pStyle w:val="ac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A1C" w:rsidRPr="00E81F91" w:rsidRDefault="00311A1C" w:rsidP="00E81E48">
      <w:pPr>
        <w:pStyle w:val="ac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B6080D" w:rsidP="00E81E48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B6080D" w:rsidP="00E81E48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B6080D" w:rsidP="00E81E48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B6080D" w:rsidP="00E81E48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80D" w:rsidRPr="00E81F91" w:rsidRDefault="00E81F91" w:rsidP="00A62D7A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1F91">
        <w:rPr>
          <w:rFonts w:ascii="Times New Roman" w:hAnsi="Times New Roman" w:cs="Times New Roman"/>
          <w:b/>
          <w:sz w:val="28"/>
          <w:szCs w:val="28"/>
          <w:lang w:val="uk-UA"/>
        </w:rPr>
        <w:t>Контакт</w:t>
      </w:r>
      <w:r w:rsidR="00A62D7A" w:rsidRPr="00E81F91">
        <w:rPr>
          <w:rFonts w:ascii="Times New Roman" w:hAnsi="Times New Roman" w:cs="Times New Roman"/>
          <w:b/>
          <w:sz w:val="28"/>
          <w:szCs w:val="28"/>
          <w:lang w:val="uk-UA"/>
        </w:rPr>
        <w:t>ні</w:t>
      </w:r>
      <w:r w:rsidRPr="00E81F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62D7A" w:rsidRPr="00E81F91">
        <w:rPr>
          <w:rFonts w:ascii="Times New Roman" w:hAnsi="Times New Roman" w:cs="Times New Roman"/>
          <w:b/>
          <w:sz w:val="28"/>
          <w:szCs w:val="28"/>
          <w:lang w:val="uk-UA"/>
        </w:rPr>
        <w:t>дані регіональних служб технічної підтримки, за якими клієнтам та користувачам надаються консультації з питань підключення та експлуатації СДО</w:t>
      </w:r>
    </w:p>
    <w:p w:rsidR="00A62D7A" w:rsidRPr="00E81F91" w:rsidRDefault="00A62D7A" w:rsidP="00A62D7A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417"/>
        <w:gridCol w:w="2007"/>
        <w:gridCol w:w="5103"/>
        <w:gridCol w:w="2693"/>
      </w:tblGrid>
      <w:tr w:rsidR="00A62D7A" w:rsidRPr="00E81F91" w:rsidTr="00A62D7A">
        <w:trPr>
          <w:trHeight w:val="539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A62D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2007" w:type="dxa"/>
            <w:shd w:val="clear" w:color="auto" w:fill="FFFFFF" w:themeFill="background1"/>
            <w:vAlign w:val="center"/>
            <w:hideMark/>
          </w:tcPr>
          <w:p w:rsidR="00A62D7A" w:rsidRPr="00E81F91" w:rsidRDefault="00A62D7A" w:rsidP="00A62D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області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:rsidR="00A62D7A" w:rsidRPr="00E81F91" w:rsidRDefault="00A62D7A" w:rsidP="00A62D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Телефонні номери підтримки користувачів з питань підключення та експлуатації СДО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A62D7A" w:rsidRPr="00E81F91" w:rsidRDefault="00A62D7A" w:rsidP="00A62D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Електронна адреса</w:t>
            </w:r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Вінницька</w:t>
            </w:r>
          </w:p>
        </w:tc>
        <w:tc>
          <w:tcPr>
            <w:tcW w:w="510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(0432) 67-57-19, (0432) 65-69-70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DB7604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6" w:history="1">
              <w:r w:rsidR="00A62D7A" w:rsidRPr="00E81F91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>office@vn.treasury.gov.ua</w:t>
              </w:r>
            </w:hyperlink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Волинська </w:t>
            </w:r>
          </w:p>
        </w:tc>
        <w:tc>
          <w:tcPr>
            <w:tcW w:w="510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(0332) 78-88-45, (0332) 78-88-46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DB7604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17" w:history="1">
              <w:r w:rsidR="00A62D7A" w:rsidRPr="00E81F91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uk-UA"/>
                </w:rPr>
                <w:t>office@1t.treasury.gov.ua</w:t>
              </w:r>
            </w:hyperlink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Дніпропетровська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(056) 756-13-40, (056) 756-13-41, (056) 756-13-39, (068) 299-69-66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DB7604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8" w:history="1">
              <w:r w:rsidR="00A62D7A" w:rsidRPr="00E81F91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>office@dp.treasury.gov.ua</w:t>
              </w:r>
            </w:hyperlink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Донецька</w:t>
            </w:r>
          </w:p>
        </w:tc>
        <w:tc>
          <w:tcPr>
            <w:tcW w:w="510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(048) 730 59 92, (066) 691 58 47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it@dn.treasury.gov.ua</w:t>
            </w:r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Житомирська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(0412) 41-85-48, +380934192579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e-client@zt.treasury.gov.ua</w:t>
            </w:r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Закарпатська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(0312) 63-06-39, (0312) 63-06-86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DB7604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9" w:history="1">
              <w:r w:rsidR="00A62D7A" w:rsidRPr="00E81F91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>office@uz.treasury.gov.ua</w:t>
              </w:r>
            </w:hyperlink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Запорізька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(061) 212-44-19, (061) 212-44-23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office@zp.treasury.gov.ua</w:t>
            </w:r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Івано-Франківська </w:t>
            </w:r>
          </w:p>
        </w:tc>
        <w:tc>
          <w:tcPr>
            <w:tcW w:w="510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(0342) 55-97-10, (0342) 55-97-20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DB7604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20" w:history="1">
              <w:r w:rsidR="00A62D7A" w:rsidRPr="00E81F91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uk-UA"/>
                </w:rPr>
                <w:t>office@if.treasury.gov.ua</w:t>
              </w:r>
            </w:hyperlink>
          </w:p>
        </w:tc>
      </w:tr>
      <w:tr w:rsidR="00A62D7A" w:rsidRPr="005C1D05" w:rsidTr="00A62D7A">
        <w:trPr>
          <w:trHeight w:val="435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Київська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(044) 286-82-31, (044)286-66-63, (044)284-60-14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office@kb.treasury.gov.ua</w:t>
            </w:r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Кіровоградська</w:t>
            </w:r>
          </w:p>
        </w:tc>
        <w:tc>
          <w:tcPr>
            <w:tcW w:w="510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(0522) 356212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DB7604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21" w:history="1">
              <w:r w:rsidR="00A62D7A" w:rsidRPr="00E81F91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uk-UA"/>
                </w:rPr>
                <w:t>office@kr.treasury.gov.ua</w:t>
              </w:r>
            </w:hyperlink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Луганська</w:t>
            </w:r>
          </w:p>
        </w:tc>
        <w:tc>
          <w:tcPr>
            <w:tcW w:w="510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(066)1706140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DB7604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2" w:history="1">
              <w:r w:rsidR="00A62D7A" w:rsidRPr="00E81F91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 xml:space="preserve">e-client@lg.treasury.gov.ua </w:t>
              </w:r>
            </w:hyperlink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Львівська</w:t>
            </w:r>
          </w:p>
        </w:tc>
        <w:tc>
          <w:tcPr>
            <w:tcW w:w="510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(032) 225-53-51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DB7604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3" w:history="1">
              <w:r w:rsidR="00A62D7A" w:rsidRPr="00E81F91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>office@lv.treasury.gov.ua</w:t>
              </w:r>
            </w:hyperlink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Миколаївська</w:t>
            </w:r>
          </w:p>
        </w:tc>
        <w:tc>
          <w:tcPr>
            <w:tcW w:w="510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(0512) 30-05-47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office@mk.treasury.gov.ua</w:t>
            </w:r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Одеська</w:t>
            </w:r>
          </w:p>
        </w:tc>
        <w:tc>
          <w:tcPr>
            <w:tcW w:w="510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(048) 730-59-17, (048) 730-59-79, (048) 730-59-76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office@od.treasury.gov.ua</w:t>
            </w:r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Полтавська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(0532) 51-88-76, (0532) 51-88-95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office@pl.treasury.gov.ua</w:t>
            </w:r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Рівненська</w:t>
            </w:r>
          </w:p>
        </w:tc>
        <w:tc>
          <w:tcPr>
            <w:tcW w:w="510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(0362) 62-04-91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DB7604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4" w:history="1">
              <w:r w:rsidR="00A62D7A" w:rsidRPr="00E81F91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>office@rv.treasury.gov.ua</w:t>
              </w:r>
            </w:hyperlink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Сумська</w:t>
            </w:r>
          </w:p>
        </w:tc>
        <w:tc>
          <w:tcPr>
            <w:tcW w:w="510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(0542) 67-56-74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DB7604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25" w:history="1">
              <w:r w:rsidR="00A62D7A" w:rsidRPr="00E81F91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 xml:space="preserve"> </w:t>
              </w:r>
              <w:r w:rsidR="00A62D7A" w:rsidRPr="00E81F91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uk-UA"/>
                </w:rPr>
                <w:t>e-</w:t>
              </w:r>
              <w:proofErr w:type="spellStart"/>
              <w:r w:rsidR="00A62D7A" w:rsidRPr="00E81F91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uk-UA"/>
                </w:rPr>
                <w:t>client</w:t>
              </w:r>
              <w:proofErr w:type="spellEnd"/>
              <w:r w:rsidR="00A62D7A" w:rsidRPr="00E81F91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uk-UA"/>
                </w:rPr>
                <w:t xml:space="preserve"> @</w:t>
              </w:r>
              <w:proofErr w:type="spellStart"/>
              <w:r w:rsidR="00A62D7A" w:rsidRPr="00E81F91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uk-UA"/>
                </w:rPr>
                <w:t>sm.treasury.gov.ua</w:t>
              </w:r>
              <w:proofErr w:type="spellEnd"/>
            </w:hyperlink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Тернопільська</w:t>
            </w:r>
          </w:p>
        </w:tc>
        <w:tc>
          <w:tcPr>
            <w:tcW w:w="510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(0352) 47-53-43, (0352) 47-53-30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office@tr.treasury.gov.ua</w:t>
            </w:r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Харківська</w:t>
            </w:r>
          </w:p>
        </w:tc>
        <w:tc>
          <w:tcPr>
            <w:tcW w:w="510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(057) 702-12-35, (057) 702-12-36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DB7604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26" w:history="1">
              <w:r w:rsidR="00A62D7A" w:rsidRPr="00E81F91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uk-UA"/>
                </w:rPr>
                <w:t>office@kh.treasury.gov.ua</w:t>
              </w:r>
            </w:hyperlink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Херсонська</w:t>
            </w:r>
          </w:p>
        </w:tc>
        <w:tc>
          <w:tcPr>
            <w:tcW w:w="510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(0552) 49-08-98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DB7604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27" w:history="1">
              <w:r w:rsidR="00A62D7A" w:rsidRPr="00E81F91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uk-UA"/>
                </w:rPr>
                <w:t>office@ks.treasury.gov.ua</w:t>
              </w:r>
            </w:hyperlink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Хмельницька</w:t>
            </w:r>
          </w:p>
        </w:tc>
        <w:tc>
          <w:tcPr>
            <w:tcW w:w="510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(0382) 71-97-10, (0382) 71-97-11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DB7604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28" w:history="1">
              <w:r w:rsidR="00A62D7A" w:rsidRPr="00E81F91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uk-UA"/>
                </w:rPr>
                <w:t>office@km.treasury.gov.ua</w:t>
              </w:r>
            </w:hyperlink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Черкаська</w:t>
            </w:r>
          </w:p>
        </w:tc>
        <w:tc>
          <w:tcPr>
            <w:tcW w:w="510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(0472) 54-34-69, (0472) 54-05-94, 38(066) 857-59-39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DB7604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9" w:history="1">
              <w:r w:rsidR="00A62D7A" w:rsidRPr="00E81F91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>office@ck.treasury.gov.ua</w:t>
              </w:r>
            </w:hyperlink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Чернівецька</w:t>
            </w:r>
          </w:p>
        </w:tc>
        <w:tc>
          <w:tcPr>
            <w:tcW w:w="510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(0372) 52-18-77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DB7604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0" w:history="1">
              <w:r w:rsidR="00A62D7A" w:rsidRPr="00E81F91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>e-client@cv.treasury.gov.ua</w:t>
              </w:r>
            </w:hyperlink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Чернігівська</w:t>
            </w:r>
          </w:p>
        </w:tc>
        <w:tc>
          <w:tcPr>
            <w:tcW w:w="510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(0462) 65-19-93, (0462) 65-19-40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DB7604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1" w:history="1">
              <w:r w:rsidR="00A62D7A" w:rsidRPr="00E81F91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>office@cn.treasury.gov.ua</w:t>
              </w:r>
            </w:hyperlink>
          </w:p>
        </w:tc>
      </w:tr>
      <w:tr w:rsidR="00A62D7A" w:rsidRPr="005C1D05" w:rsidTr="00A62D7A">
        <w:trPr>
          <w:trHeight w:val="402"/>
          <w:jc w:val="center"/>
        </w:trPr>
        <w:tc>
          <w:tcPr>
            <w:tcW w:w="41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2007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510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A62D7A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1F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(044) 202-19-88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A62D7A" w:rsidRPr="00E81F91" w:rsidRDefault="00DB7604" w:rsidP="00012B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2" w:history="1">
              <w:r w:rsidR="00A62D7A" w:rsidRPr="00E81F91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>office@kv.treasury.gov.ua</w:t>
              </w:r>
            </w:hyperlink>
          </w:p>
        </w:tc>
      </w:tr>
    </w:tbl>
    <w:p w:rsidR="00A62D7A" w:rsidRPr="00E81F91" w:rsidRDefault="00A62D7A" w:rsidP="00A62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2D7A" w:rsidRPr="00E81F91" w:rsidSect="00A62D7A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2738"/>
    <w:multiLevelType w:val="multilevel"/>
    <w:tmpl w:val="788E4E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E4598A"/>
    <w:multiLevelType w:val="multilevel"/>
    <w:tmpl w:val="98F450C0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74F70762"/>
    <w:multiLevelType w:val="multilevel"/>
    <w:tmpl w:val="B12455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hyphenationZone w:val="0"/>
  <w:characterSpacingControl w:val="doNotCompress"/>
  <w:compat/>
  <w:rsids>
    <w:rsidRoot w:val="00B6080D"/>
    <w:rsid w:val="00311A1C"/>
    <w:rsid w:val="005C1D05"/>
    <w:rsid w:val="00626A86"/>
    <w:rsid w:val="008979B8"/>
    <w:rsid w:val="00A62D7A"/>
    <w:rsid w:val="00B6080D"/>
    <w:rsid w:val="00C83EBF"/>
    <w:rsid w:val="00DB7604"/>
    <w:rsid w:val="00E10349"/>
    <w:rsid w:val="00E81E48"/>
    <w:rsid w:val="00E8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86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A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0"/>
    <w:next w:val="a1"/>
    <w:qFormat/>
    <w:rsid w:val="00B6080D"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у виносці Знак"/>
    <w:basedOn w:val="a2"/>
    <w:link w:val="a6"/>
    <w:uiPriority w:val="99"/>
    <w:semiHidden/>
    <w:qFormat/>
    <w:rsid w:val="009507DA"/>
    <w:rPr>
      <w:rFonts w:ascii="Tahoma" w:hAnsi="Tahoma" w:cs="Tahoma"/>
      <w:sz w:val="16"/>
      <w:szCs w:val="16"/>
    </w:rPr>
  </w:style>
  <w:style w:type="character" w:styleId="a7">
    <w:name w:val="Hyperlink"/>
    <w:rsid w:val="00B6080D"/>
    <w:rPr>
      <w:color w:val="000080"/>
      <w:u w:val="single"/>
    </w:rPr>
  </w:style>
  <w:style w:type="character" w:styleId="a8">
    <w:name w:val="FollowedHyperlink"/>
    <w:rsid w:val="00B6080D"/>
    <w:rPr>
      <w:color w:val="800000"/>
      <w:u w:val="single"/>
    </w:rPr>
  </w:style>
  <w:style w:type="paragraph" w:customStyle="1" w:styleId="a0">
    <w:name w:val="Заголовок"/>
    <w:basedOn w:val="a"/>
    <w:next w:val="a1"/>
    <w:qFormat/>
    <w:rsid w:val="00B608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rsid w:val="00B6080D"/>
    <w:pPr>
      <w:spacing w:after="140"/>
    </w:pPr>
  </w:style>
  <w:style w:type="paragraph" w:styleId="a9">
    <w:name w:val="List"/>
    <w:basedOn w:val="a1"/>
    <w:rsid w:val="00B6080D"/>
    <w:rPr>
      <w:rFonts w:cs="Arial"/>
    </w:rPr>
  </w:style>
  <w:style w:type="paragraph" w:styleId="aa">
    <w:name w:val="caption"/>
    <w:basedOn w:val="a"/>
    <w:qFormat/>
    <w:rsid w:val="00B608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B6080D"/>
    <w:pPr>
      <w:suppressLineNumbers/>
    </w:pPr>
    <w:rPr>
      <w:rFonts w:cs="Arial"/>
    </w:rPr>
  </w:style>
  <w:style w:type="paragraph" w:styleId="a6">
    <w:name w:val="Balloon Text"/>
    <w:basedOn w:val="a"/>
    <w:link w:val="a5"/>
    <w:uiPriority w:val="99"/>
    <w:semiHidden/>
    <w:unhideWhenUsed/>
    <w:qFormat/>
    <w:rsid w:val="009507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70447"/>
    <w:pPr>
      <w:ind w:left="720"/>
      <w:contextualSpacing/>
    </w:pPr>
  </w:style>
  <w:style w:type="numbering" w:customStyle="1" w:styleId="ad">
    <w:name w:val="Без списка"/>
    <w:uiPriority w:val="99"/>
    <w:semiHidden/>
    <w:unhideWhenUsed/>
    <w:qFormat/>
    <w:rsid w:val="00B6080D"/>
  </w:style>
  <w:style w:type="character" w:customStyle="1" w:styleId="20">
    <w:name w:val="Заголовок 2 Знак"/>
    <w:basedOn w:val="a2"/>
    <w:link w:val="2"/>
    <w:uiPriority w:val="9"/>
    <w:semiHidden/>
    <w:rsid w:val="00311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uiPriority w:val="99"/>
    <w:semiHidden/>
    <w:unhideWhenUsed/>
    <w:rsid w:val="00311A1C"/>
    <w:pPr>
      <w:spacing w:after="120"/>
      <w:ind w:left="283"/>
    </w:pPr>
  </w:style>
  <w:style w:type="character" w:customStyle="1" w:styleId="af">
    <w:name w:val="Основний текст з відступом Знак"/>
    <w:basedOn w:val="a2"/>
    <w:link w:val="ae"/>
    <w:uiPriority w:val="99"/>
    <w:semiHidden/>
    <w:rsid w:val="00311A1C"/>
  </w:style>
  <w:style w:type="paragraph" w:customStyle="1" w:styleId="af0">
    <w:name w:val="Подпись рисунка"/>
    <w:basedOn w:val="a"/>
    <w:link w:val="af1"/>
    <w:rsid w:val="00311A1C"/>
    <w:pPr>
      <w:suppressAutoHyphens w:val="0"/>
      <w:spacing w:after="240" w:line="240" w:lineRule="auto"/>
      <w:contextualSpacing/>
      <w:jc w:val="center"/>
    </w:pPr>
    <w:rPr>
      <w:rFonts w:ascii="Microsoft Sans Serif" w:eastAsia="Times New Roman" w:hAnsi="Microsoft Sans Serif" w:cs="Times New Roman"/>
      <w:sz w:val="20"/>
      <w:szCs w:val="28"/>
      <w:lang w:val="uk-UA"/>
    </w:rPr>
  </w:style>
  <w:style w:type="paragraph" w:customStyle="1" w:styleId="af2">
    <w:name w:val="Рисунок"/>
    <w:basedOn w:val="af0"/>
    <w:rsid w:val="00311A1C"/>
    <w:pPr>
      <w:spacing w:after="0"/>
      <w:contextualSpacing w:val="0"/>
    </w:pPr>
  </w:style>
  <w:style w:type="character" w:customStyle="1" w:styleId="af1">
    <w:name w:val="Подпись рисунка Знак"/>
    <w:link w:val="af0"/>
    <w:rsid w:val="00311A1C"/>
    <w:rPr>
      <w:rFonts w:ascii="Microsoft Sans Serif" w:eastAsia="Times New Roman" w:hAnsi="Microsoft Sans Serif" w:cs="Times New Roman"/>
      <w:sz w:val="20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office@dp.treasury.gov.ua" TargetMode="External"/><Relationship Id="rId26" Type="http://schemas.openxmlformats.org/officeDocument/2006/relationships/hyperlink" Target="mailto:office@kh.treasury.gov.u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ffice@kr.treasury.gov.u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iit.com.ua/downloads" TargetMode="External"/><Relationship Id="rId12" Type="http://schemas.openxmlformats.org/officeDocument/2006/relationships/image" Target="media/image6.png"/><Relationship Id="rId17" Type="http://schemas.openxmlformats.org/officeDocument/2006/relationships/hyperlink" Target="mailto:office@1t.treasury.gov.ua" TargetMode="External"/><Relationship Id="rId25" Type="http://schemas.openxmlformats.org/officeDocument/2006/relationships/hyperlink" Target="mailto:office@sm.treasury.gov.ua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ffice@vn.treasury.gov.ua" TargetMode="External"/><Relationship Id="rId20" Type="http://schemas.openxmlformats.org/officeDocument/2006/relationships/hyperlink" Target="mailto:office@if.treasury.gov.ua" TargetMode="External"/><Relationship Id="rId29" Type="http://schemas.openxmlformats.org/officeDocument/2006/relationships/hyperlink" Target="mailto:office@ck.treasury.gov.u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hyperlink" Target="mailto:office@rv.treasury.gov.ua" TargetMode="External"/><Relationship Id="rId32" Type="http://schemas.openxmlformats.org/officeDocument/2006/relationships/hyperlink" Target="mailto:office@kv.treasury.gov.ua" TargetMode="External"/><Relationship Id="rId5" Type="http://schemas.openxmlformats.org/officeDocument/2006/relationships/hyperlink" Target="https://sdo.treasury.gov.ua/sdo" TargetMode="External"/><Relationship Id="rId15" Type="http://schemas.openxmlformats.org/officeDocument/2006/relationships/image" Target="media/image8.png"/><Relationship Id="rId23" Type="http://schemas.openxmlformats.org/officeDocument/2006/relationships/hyperlink" Target="mailto:office@lv.treasury.gov.ua" TargetMode="External"/><Relationship Id="rId28" Type="http://schemas.openxmlformats.org/officeDocument/2006/relationships/hyperlink" Target="mailto:office@km.treasury.gov.ua" TargetMode="External"/><Relationship Id="rId10" Type="http://schemas.openxmlformats.org/officeDocument/2006/relationships/image" Target="media/image4.png"/><Relationship Id="rId19" Type="http://schemas.openxmlformats.org/officeDocument/2006/relationships/hyperlink" Target="mailto:office@uz.treasury.gov.ua" TargetMode="External"/><Relationship Id="rId31" Type="http://schemas.openxmlformats.org/officeDocument/2006/relationships/hyperlink" Target="mailto:office@cn.treasury.gov.u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sdo.treasury.gov.ua/sdo" TargetMode="External"/><Relationship Id="rId22" Type="http://schemas.openxmlformats.org/officeDocument/2006/relationships/hyperlink" Target="mailto:e-client@lg.treasury.gov.ua" TargetMode="External"/><Relationship Id="rId27" Type="http://schemas.openxmlformats.org/officeDocument/2006/relationships/hyperlink" Target="mailto:office@ks.treasury.gov.ua" TargetMode="External"/><Relationship Id="rId30" Type="http://schemas.openxmlformats.org/officeDocument/2006/relationships/hyperlink" Target="mailto:e-client@cv.treasury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3277</Words>
  <Characters>1868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2800-melnichykv</dc:creator>
  <cp:lastModifiedBy>2800-Slisarenkod</cp:lastModifiedBy>
  <cp:revision>4</cp:revision>
  <dcterms:created xsi:type="dcterms:W3CDTF">2025-12-05T09:57:00Z</dcterms:created>
  <dcterms:modified xsi:type="dcterms:W3CDTF">2025-12-05T10:27:00Z</dcterms:modified>
  <dc:language>en-US</dc:language>
</cp:coreProperties>
</file>