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i/>
          <w:i/>
          <w:sz w:val="20"/>
          <w:szCs w:val="20"/>
        </w:rPr>
      </w:pPr>
      <w:r>
        <w:rPr>
          <w:rFonts w:eastAsia="Times New Roman" w:ascii="Times New Roman" w:hAnsi="Times New Roman"/>
          <w:i/>
          <w:sz w:val="20"/>
          <w:szCs w:val="20"/>
        </w:rPr>
      </w:r>
    </w:p>
    <w:p>
      <w:pPr>
        <w:pStyle w:val="Normal"/>
        <w:tabs>
          <w:tab w:val="clear" w:pos="720"/>
          <w:tab w:val="left" w:pos="2127" w:leader="none"/>
        </w:tabs>
        <w:spacing w:before="0" w:after="0"/>
        <w:rPr>
          <w:rFonts w:ascii="Times New Roman" w:hAnsi="Times New Roman"/>
        </w:rPr>
      </w:pPr>
      <w:r>
        <w:rPr>
          <w:rFonts w:eastAsia="Times New Roman" w:ascii="Times New Roman" w:hAnsi="Times New Roman"/>
          <w:b/>
          <w:bCs/>
          <w:i/>
          <w:iCs/>
          <w:sz w:val="30"/>
          <w:szCs w:val="30"/>
          <w:lang w:eastAsia="ru-RU"/>
        </w:rPr>
        <w:t xml:space="preserve">               </w:t>
      </w:r>
      <w:r>
        <w:rPr>
          <w:rFonts w:ascii="Times New Roman" w:hAnsi="Times New Roman"/>
          <w:b/>
          <w:sz w:val="28"/>
          <w:szCs w:val="28"/>
        </w:rPr>
        <w:t>Головне управління  Державної казначейської служби України</w:t>
      </w:r>
    </w:p>
    <w:p>
      <w:pPr>
        <w:pStyle w:val="Normal"/>
        <w:tabs>
          <w:tab w:val="clear" w:pos="720"/>
          <w:tab w:val="left" w:pos="2127" w:leader="none"/>
        </w:tabs>
        <w:spacing w:before="0" w:after="0"/>
        <w:jc w:val="center"/>
        <w:rPr>
          <w:rFonts w:ascii="Times New Roman" w:hAnsi="Times New Roman"/>
        </w:rPr>
      </w:pPr>
      <w:r>
        <w:rPr>
          <w:rFonts w:ascii="Times New Roman" w:hAnsi="Times New Roman"/>
          <w:b/>
          <w:sz w:val="28"/>
          <w:szCs w:val="28"/>
        </w:rPr>
        <w:t>у Чернівецькій області</w:t>
      </w:r>
    </w:p>
    <w:p>
      <w:pPr>
        <w:pStyle w:val="Normal"/>
        <w:spacing w:lineRule="auto" w:line="240" w:before="0" w:after="0"/>
        <w:ind w:left="-1418"/>
        <w:jc w:val="center"/>
        <w:rPr/>
      </w:pPr>
      <w:r>
        <w:rPr/>
      </w:r>
    </w:p>
    <w:p>
      <w:pPr>
        <w:pStyle w:val="Normal"/>
        <w:spacing w:lineRule="auto" w:line="240" w:before="280" w:after="0"/>
        <w:jc w:val="center"/>
        <w:rPr/>
      </w:pPr>
      <w:r>
        <w:rPr>
          <w:rFonts w:eastAsia="Times New Roman" w:ascii="Times New Roman" w:hAnsi="Times New Roman"/>
          <w:b/>
          <w:sz w:val="24"/>
          <w:szCs w:val="24"/>
        </w:rPr>
        <w:t xml:space="preserve">ОБҐРУНТУВАННЯ </w:t>
      </w:r>
    </w:p>
    <w:p>
      <w:pPr>
        <w:pStyle w:val="Normal"/>
        <w:spacing w:lineRule="auto" w:line="240" w:before="0" w:after="280"/>
        <w:jc w:val="center"/>
        <w:rPr>
          <w:sz w:val="24"/>
          <w:szCs w:val="24"/>
        </w:rPr>
      </w:pPr>
      <w:r>
        <w:rPr>
          <w:rFonts w:eastAsia="Times New Roman" w:ascii="Times New Roman" w:hAnsi="Times New Roman"/>
          <w:sz w:val="24"/>
          <w:szCs w:val="24"/>
        </w:rPr>
        <w:t xml:space="preserve">технічних та якісних характеристик </w:t>
      </w:r>
      <w:r>
        <w:rPr>
          <w:rFonts w:eastAsia="Times New Roman" w:ascii="Times New Roman" w:hAnsi="Times New Roman"/>
          <w:b/>
          <w:sz w:val="24"/>
          <w:szCs w:val="24"/>
        </w:rPr>
        <w:t xml:space="preserve">закупівлі електричної енергії, </w:t>
      </w:r>
      <w:r>
        <w:rPr>
          <w:rFonts w:eastAsia="Times New Roman" w:ascii="Times New Roman" w:hAnsi="Times New Roman"/>
          <w:sz w:val="24"/>
          <w:szCs w:val="24"/>
        </w:rPr>
        <w:t>розміру бюджетного призначення, очікуваної вартості предмета закупівлі</w:t>
      </w:r>
    </w:p>
    <w:p>
      <w:pPr>
        <w:pStyle w:val="Normal"/>
        <w:spacing w:lineRule="auto" w:line="240" w:before="0" w:after="0"/>
        <w:jc w:val="both"/>
        <w:rPr/>
      </w:pPr>
      <w:r>
        <w:rPr>
          <w:rFonts w:eastAsia="Times New Roman" w:ascii="Times New Roman" w:hAnsi="Times New Roman"/>
          <w:i/>
          <w:sz w:val="24"/>
          <w:szCs w:val="24"/>
        </w:rPr>
        <w:t>(оприлюднюється на виконання постанови КМУ № 710 від 11.10.2016</w:t>
      </w:r>
    </w:p>
    <w:p>
      <w:pPr>
        <w:pStyle w:val="Normal"/>
        <w:spacing w:lineRule="auto" w:line="240" w:before="0" w:after="0"/>
        <w:jc w:val="both"/>
        <w:rPr/>
      </w:pPr>
      <w:r>
        <w:rPr>
          <w:rFonts w:eastAsia="Times New Roman" w:ascii="Times New Roman" w:hAnsi="Times New Roman"/>
          <w:i/>
          <w:sz w:val="24"/>
          <w:szCs w:val="24"/>
        </w:rPr>
        <w:t xml:space="preserve"> </w:t>
      </w:r>
      <w:r>
        <w:rPr>
          <w:rFonts w:eastAsia="Times New Roman" w:ascii="Times New Roman" w:hAnsi="Times New Roman"/>
          <w:i/>
          <w:sz w:val="24"/>
          <w:szCs w:val="24"/>
        </w:rPr>
        <w:t>«Про ефективне використання державних коштів» (зі змінами))</w:t>
      </w:r>
    </w:p>
    <w:p>
      <w:pPr>
        <w:pStyle w:val="NormalWeb"/>
        <w:spacing w:before="280" w:after="280"/>
        <w:jc w:val="both"/>
        <w:rPr>
          <w:lang w:val="uk-UA"/>
        </w:rPr>
      </w:pPr>
      <w:r>
        <w:rPr>
          <w:b/>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b/>
          <w:bCs/>
          <w:color w:val="000000"/>
          <w:lang w:val="uk-UA"/>
        </w:rPr>
        <w:t>Головне управління Державної казначейської служби  України у Чернівецькій області</w:t>
      </w:r>
      <w:r>
        <w:rPr>
          <w:color w:val="000000"/>
          <w:lang w:val="uk-UA" w:eastAsia="ru-RU"/>
        </w:rPr>
        <w:t xml:space="preserve">; </w:t>
      </w:r>
      <w:r>
        <w:rPr>
          <w:b/>
          <w:i/>
          <w:color w:val="000000"/>
          <w:lang w:val="uk-UA" w:eastAsia="ru-RU"/>
        </w:rPr>
        <w:br/>
      </w:r>
      <w:r>
        <w:rPr>
          <w:color w:val="000000"/>
          <w:lang w:val="uk-UA"/>
        </w:rPr>
        <w:t>вул. Василя Аксенина ,2Е , м. Чернівці, Чернівецька обл., Україна, 58001</w:t>
      </w:r>
      <w:r>
        <w:rPr>
          <w:b/>
          <w:i/>
          <w:color w:val="000000"/>
          <w:lang w:val="uk-UA" w:eastAsia="ru-RU"/>
        </w:rPr>
        <w:t xml:space="preserve">; код за ЄДРПОУ – </w:t>
      </w:r>
      <w:r>
        <w:rPr>
          <w:b/>
          <w:color w:val="000000"/>
          <w:lang w:val="uk-UA" w:eastAsia="ru-RU"/>
        </w:rPr>
        <w:t>37836095</w:t>
      </w:r>
      <w:r>
        <w:rPr>
          <w:b/>
          <w:i/>
          <w:color w:val="000000"/>
          <w:lang w:val="uk-UA" w:eastAsia="ru-RU"/>
        </w:rPr>
        <w:t>; категорія замовника –</w:t>
      </w:r>
      <w:r>
        <w:rPr>
          <w:color w:val="000000"/>
          <w:lang w:val="uk-UA" w:eastAsia="ru-RU"/>
        </w:rPr>
        <w:t xml:space="preserve"> </w:t>
      </w:r>
      <w:r>
        <w:rPr>
          <w:color w:val="000000"/>
          <w:lang w:val="uk-UA"/>
        </w:rPr>
        <w:t>виконавчий орган державної влади.</w:t>
      </w:r>
      <w:r>
        <w:rPr>
          <w:color w:val="000000"/>
          <w:lang w:val="uk-UA" w:eastAsia="ru-RU"/>
        </w:rPr>
        <w:t xml:space="preserve"> , зазначені у пункті 1 частини першої статті 2 Закону України  «Про публічні закупівлі».</w:t>
      </w:r>
    </w:p>
    <w:p>
      <w:pPr>
        <w:pStyle w:val="Normal"/>
        <w:spacing w:lineRule="auto" w:line="240" w:before="280" w:after="280"/>
        <w:jc w:val="both"/>
        <w:rPr>
          <w:sz w:val="24"/>
          <w:szCs w:val="24"/>
        </w:rPr>
      </w:pPr>
      <w:r>
        <w:rPr>
          <w:rFonts w:eastAsia="Times New Roman" w:ascii="Times New Roman" w:hAnsi="Times New Roman"/>
          <w:b/>
          <w:bCs/>
          <w:iCs/>
          <w:color w:val="000000"/>
          <w:sz w:val="24"/>
          <w:szCs w:val="24"/>
        </w:rPr>
        <w:t xml:space="preserve">Назва предмета закупівлі </w:t>
      </w:r>
      <w:r>
        <w:rPr>
          <w:rFonts w:eastAsia="Times New Roman" w:ascii="Times New Roman" w:hAnsi="Times New Roman"/>
          <w:b/>
          <w:color w:val="000000"/>
          <w:sz w:val="24"/>
          <w:szCs w:val="24"/>
        </w:rPr>
        <w:t>із зазначенням коду за Єдиним закупівельним словником  та назви відповідних класифікаторів предмета закупівлі й частин предмета закупівлі:</w:t>
      </w:r>
      <w:r>
        <w:rPr>
          <w:rFonts w:ascii="Times New Roman" w:hAnsi="Times New Roman"/>
          <w:sz w:val="24"/>
          <w:szCs w:val="24"/>
        </w:rPr>
        <w:t xml:space="preserve"> </w:t>
      </w:r>
      <w:r>
        <w:rPr>
          <w:rFonts w:eastAsia="Times New Roman" w:ascii="Times New Roman" w:hAnsi="Times New Roman"/>
          <w:color w:val="000000"/>
          <w:sz w:val="24"/>
          <w:szCs w:val="24"/>
          <w:highlight w:val="white"/>
        </w:rPr>
        <w:t xml:space="preserve">Електрична енергія для навчальних корпусів , </w:t>
      </w:r>
      <w:r>
        <w:rPr>
          <w:rFonts w:eastAsia="Times New Roman" w:ascii="Times New Roman" w:hAnsi="Times New Roman"/>
          <w:color w:val="000000"/>
          <w:sz w:val="24"/>
          <w:szCs w:val="24"/>
        </w:rPr>
        <w:t>код 09310000-5 – Електрична енергія за ДК 021:2015 «Єдиний закупівельний словник».</w:t>
      </w:r>
    </w:p>
    <w:p>
      <w:pPr>
        <w:pStyle w:val="Normal"/>
        <w:spacing w:lineRule="auto" w:line="240" w:before="280" w:after="280"/>
        <w:jc w:val="both"/>
        <w:rPr>
          <w:rFonts w:ascii="Times New Roman" w:hAnsi="Times New Roman" w:eastAsia="Times New Roman"/>
          <w:color w:themeColor="text1" w:val="000000"/>
          <w:sz w:val="24"/>
          <w:szCs w:val="24"/>
        </w:rPr>
      </w:pPr>
      <w:r>
        <w:rPr>
          <w:rFonts w:eastAsia="Times New Roman" w:ascii="Times New Roman" w:hAnsi="Times New Roman"/>
          <w:b/>
          <w:sz w:val="24"/>
          <w:szCs w:val="24"/>
        </w:rPr>
        <w:t>Вид та ідентифікатор процедури закупівлі:</w:t>
      </w:r>
      <w:r>
        <w:rPr>
          <w:rFonts w:eastAsia="Times New Roman" w:ascii="Times New Roman" w:hAnsi="Times New Roman"/>
          <w:sz w:val="24"/>
          <w:szCs w:val="24"/>
        </w:rPr>
        <w:t xml:space="preserve"> Запит пропозиції постачальника, ідентифікатор закупівлі </w:t>
      </w:r>
      <w:r>
        <w:rPr>
          <w:rFonts w:ascii="Times New Roman" w:hAnsi="Times New Roman"/>
          <w:color w:val="242638"/>
          <w:sz w:val="24"/>
          <w:szCs w:val="24"/>
          <w:shd w:fill="FFFFFF" w:val="clear"/>
        </w:rPr>
        <w:t xml:space="preserve">ID: </w:t>
      </w:r>
      <w:r>
        <w:rPr>
          <w:rFonts w:eastAsia="Times New Roman" w:ascii="Times New Roman" w:hAnsi="Times New Roman"/>
          <w:b/>
          <w:bCs/>
          <w:color w:themeColor="text1" w:val="000000"/>
          <w:sz w:val="24"/>
          <w:szCs w:val="24"/>
          <w:shd w:fill="FFFFFF" w:val="clear"/>
          <w:lang w:val="en-US"/>
        </w:rPr>
        <w:t>UA-2025-10-17-004655-a.</w:t>
      </w:r>
    </w:p>
    <w:p>
      <w:pPr>
        <w:pStyle w:val="Normal"/>
        <w:spacing w:lineRule="auto" w:line="240" w:before="0" w:after="0"/>
        <w:jc w:val="both"/>
        <w:rPr>
          <w:rFonts w:ascii="Times New Roman" w:hAnsi="Times New Roman" w:eastAsia="Times New Roman"/>
          <w:b/>
          <w:sz w:val="24"/>
          <w:szCs w:val="24"/>
        </w:rPr>
      </w:pPr>
      <w:r>
        <w:rPr>
          <w:rFonts w:eastAsia="Times New Roman" w:ascii="Times New Roman" w:hAnsi="Times New Roman"/>
          <w:b/>
          <w:sz w:val="24"/>
          <w:szCs w:val="24"/>
        </w:rPr>
        <w:t>Очікувана вартість –69009,97грн. з ПДВ.</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b/>
          <w:sz w:val="24"/>
          <w:szCs w:val="24"/>
        </w:rPr>
        <w:t xml:space="preserve">Обґрунтування очікуваної вартості предмета закупівлі </w:t>
      </w:r>
      <w:r>
        <w:rPr>
          <w:rFonts w:eastAsia="Times New Roman" w:ascii="Times New Roman" w:hAnsi="Times New Roman"/>
          <w:sz w:val="24"/>
          <w:szCs w:val="24"/>
        </w:rPr>
        <w:t xml:space="preserve">Визначення очікуваної вартості предмета закупівлі обумовлено аналізом споживання електричної енергії у 2025 році. </w:t>
      </w:r>
      <w:r>
        <w:rPr>
          <w:rFonts w:ascii="Times New Roman" w:hAnsi="Times New Roman"/>
          <w:sz w:val="24"/>
          <w:szCs w:val="24"/>
        </w:rPr>
        <w:t xml:space="preserve">Замовником здійснено розрахунок очікуваної вартості методом аналізу ринку електричної енергії на сайті ДП “Оператор ринку” </w:t>
      </w:r>
      <w:hyperlink r:id="rId2">
        <w:r>
          <w:rPr>
            <w:rStyle w:val="Hyperlink"/>
            <w:rFonts w:ascii="Times New Roman" w:hAnsi="Times New Roman"/>
            <w:sz w:val="24"/>
            <w:szCs w:val="24"/>
            <w:lang w:val="en-US"/>
          </w:rPr>
          <w:t>https</w:t>
        </w:r>
        <w:r>
          <w:rPr>
            <w:rStyle w:val="Hyperlink"/>
            <w:rFonts w:ascii="Times New Roman" w:hAnsi="Times New Roman"/>
            <w:sz w:val="24"/>
            <w:szCs w:val="24"/>
          </w:rPr>
          <w:t>://</w:t>
        </w:r>
        <w:r>
          <w:rPr>
            <w:rStyle w:val="Hyperlink"/>
            <w:rFonts w:ascii="Times New Roman" w:hAnsi="Times New Roman"/>
            <w:sz w:val="24"/>
            <w:szCs w:val="24"/>
            <w:lang w:val="en-US"/>
          </w:rPr>
          <w:t>www</w:t>
        </w:r>
        <w:r>
          <w:rPr>
            <w:rStyle w:val="Hyperlink"/>
            <w:rFonts w:ascii="Times New Roman" w:hAnsi="Times New Roman"/>
            <w:sz w:val="24"/>
            <w:szCs w:val="24"/>
          </w:rPr>
          <w:t>.</w:t>
        </w:r>
        <w:r>
          <w:rPr>
            <w:rStyle w:val="Hyperlink"/>
            <w:rFonts w:ascii="Times New Roman" w:hAnsi="Times New Roman"/>
            <w:sz w:val="24"/>
            <w:szCs w:val="24"/>
            <w:lang w:val="en-US"/>
          </w:rPr>
          <w:t>oree</w:t>
        </w:r>
        <w:r>
          <w:rPr>
            <w:rStyle w:val="Hyperlink"/>
            <w:rFonts w:ascii="Times New Roman" w:hAnsi="Times New Roman"/>
            <w:sz w:val="24"/>
            <w:szCs w:val="24"/>
          </w:rPr>
          <w:t>.</w:t>
        </w:r>
        <w:r>
          <w:rPr>
            <w:rStyle w:val="Hyperlink"/>
            <w:rFonts w:ascii="Times New Roman" w:hAnsi="Times New Roman"/>
            <w:sz w:val="24"/>
            <w:szCs w:val="24"/>
            <w:lang w:val="en-US"/>
          </w:rPr>
          <w:t>com</w:t>
        </w:r>
        <w:r>
          <w:rPr>
            <w:rStyle w:val="Hyperlink"/>
            <w:rFonts w:ascii="Times New Roman" w:hAnsi="Times New Roman"/>
            <w:sz w:val="24"/>
            <w:szCs w:val="24"/>
          </w:rPr>
          <w:t>.</w:t>
        </w:r>
        <w:r>
          <w:rPr>
            <w:rStyle w:val="Hyperlink"/>
            <w:rFonts w:ascii="Times New Roman" w:hAnsi="Times New Roman"/>
            <w:sz w:val="24"/>
            <w:szCs w:val="24"/>
            <w:lang w:val="en-US"/>
          </w:rPr>
          <w:t>ua</w:t>
        </w:r>
        <w:r>
          <w:rPr>
            <w:rStyle w:val="Hyperlink"/>
            <w:rFonts w:ascii="Times New Roman" w:hAnsi="Times New Roman"/>
            <w:sz w:val="24"/>
            <w:szCs w:val="24"/>
          </w:rPr>
          <w:t>/</w:t>
        </w:r>
      </w:hyperlink>
      <w:r>
        <w:rPr>
          <w:rFonts w:ascii="Times New Roman" w:hAnsi="Times New Roman"/>
          <w:sz w:val="24"/>
          <w:szCs w:val="24"/>
        </w:rPr>
        <w:t xml:space="preserve"> за останній повний календарний місяць - вересень 2025 року станом на </w:t>
      </w:r>
      <w:r>
        <w:rPr>
          <w:rFonts w:ascii="Times New Roman" w:hAnsi="Times New Roman"/>
          <w:sz w:val="24"/>
          <w:szCs w:val="24"/>
          <w:lang w:val="en-US"/>
        </w:rPr>
        <w:t>17</w:t>
      </w:r>
      <w:r>
        <w:rPr>
          <w:rFonts w:ascii="Times New Roman" w:hAnsi="Times New Roman"/>
          <w:sz w:val="24"/>
          <w:szCs w:val="24"/>
        </w:rPr>
        <w:t xml:space="preserve">.10.2025 </w:t>
      </w:r>
      <w:r>
        <w:rPr>
          <w:rFonts w:eastAsia="Times New Roman" w:ascii="Times New Roman" w:hAnsi="Times New Roman"/>
          <w:sz w:val="24"/>
          <w:szCs w:val="24"/>
        </w:rPr>
        <w:t xml:space="preserve">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При цьому розрахунок очікуваної вартості проводився згідно з аналізом цін електропостачальників розміщених на їхніх сайтах, веб-порталі Уповноваженого органу з питань закупівель на дату формування очікуваної вартості предмета закупівлі.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До ціни електричної енергії включена вартість електричної енергії, закуповуваної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pPr>
        <w:pStyle w:val="Normal"/>
        <w:spacing w:lineRule="auto" w:line="240" w:before="0" w:after="120"/>
        <w:jc w:val="both"/>
        <w:rPr>
          <w:rFonts w:ascii="Times New Roman" w:hAnsi="Times New Roman" w:eastAsia="Times New Roman"/>
          <w:b/>
          <w:sz w:val="24"/>
          <w:szCs w:val="24"/>
        </w:rPr>
      </w:pPr>
      <w:r>
        <w:rPr>
          <w:rFonts w:eastAsia="Times New Roman" w:ascii="Times New Roman" w:hAnsi="Times New Roman"/>
          <w:b/>
          <w:sz w:val="24"/>
          <w:szCs w:val="24"/>
        </w:rPr>
      </w:r>
    </w:p>
    <w:p>
      <w:pPr>
        <w:pStyle w:val="Normal"/>
        <w:spacing w:lineRule="auto" w:line="240" w:before="0" w:after="120"/>
        <w:jc w:val="both"/>
        <w:rPr>
          <w:rFonts w:ascii="Times New Roman" w:hAnsi="Times New Roman" w:eastAsia="Times New Roman"/>
          <w:sz w:val="24"/>
          <w:szCs w:val="24"/>
        </w:rPr>
      </w:pPr>
      <w:r>
        <w:rPr>
          <w:rFonts w:eastAsia="Times New Roman" w:ascii="Times New Roman" w:hAnsi="Times New Roman"/>
          <w:b/>
          <w:sz w:val="24"/>
          <w:szCs w:val="24"/>
        </w:rPr>
        <w:t>Нормативно-правове регулювання.</w:t>
      </w:r>
      <w:r>
        <w:rPr>
          <w:rFonts w:eastAsia="Times New Roman" w:ascii="Times New Roman" w:hAnsi="Times New Roman"/>
          <w:sz w:val="24"/>
          <w:szCs w:val="24"/>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eastAsia="Times New Roman" w:ascii="Times New Roman" w:hAnsi="Times New Roman"/>
          <w:sz w:val="24"/>
          <w:szCs w:val="24"/>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eastAsia="Times New Roman" w:ascii="Times New Roman" w:hAnsi="Times New Roman"/>
          <w:sz w:val="24"/>
          <w:szCs w:val="24"/>
        </w:rPr>
        <w:t>та іншими нормативно-правовими актами, що стосуються предмета закупівлі.</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b/>
          <w:sz w:val="24"/>
          <w:szCs w:val="24"/>
        </w:rPr>
        <w:t>Загальні положення.</w:t>
      </w:r>
      <w:r>
        <w:rPr>
          <w:rFonts w:eastAsia="Times New Roman" w:ascii="Times New Roman" w:hAnsi="Times New Roman"/>
          <w:sz w:val="24"/>
          <w:szCs w:val="24"/>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3">
        <w:r>
          <w:rPr>
            <w:rStyle w:val="Style3"/>
            <w:rFonts w:eastAsia="Times New Roman" w:ascii="Times New Roman" w:hAnsi="Times New Roman"/>
            <w:color w:val="0000FF"/>
            <w:sz w:val="24"/>
            <w:szCs w:val="24"/>
            <w:u w:val="single"/>
          </w:rPr>
          <w:t>Електрична енергія</w:t>
        </w:r>
      </w:hyperlink>
      <w:r>
        <w:rPr>
          <w:rFonts w:eastAsia="Times New Roman" w:ascii="Times New Roman" w:hAnsi="Times New Roman"/>
          <w:sz w:val="24"/>
          <w:szCs w:val="24"/>
        </w:rPr>
        <w:t>  /  </w:t>
      </w:r>
      <w:hyperlink r:id="rId4">
        <w:r>
          <w:rPr>
            <w:rStyle w:val="Style3"/>
            <w:rFonts w:eastAsia="Times New Roman" w:ascii="Times New Roman" w:hAnsi="Times New Roman"/>
            <w:color w:val="0000FF"/>
            <w:sz w:val="24"/>
            <w:szCs w:val="24"/>
            <w:u w:val="single"/>
          </w:rPr>
          <w:t>Ліцензування</w:t>
        </w:r>
      </w:hyperlink>
      <w:r>
        <w:rPr>
          <w:rFonts w:eastAsia="Times New Roman" w:ascii="Times New Roman" w:hAnsi="Times New Roman"/>
          <w:sz w:val="24"/>
          <w:szCs w:val="24"/>
        </w:rPr>
        <w:t>  /  </w:t>
      </w:r>
      <w:hyperlink r:id="rId5">
        <w:r>
          <w:rPr>
            <w:rStyle w:val="Style3"/>
            <w:rFonts w:eastAsia="Times New Roman" w:ascii="Times New Roman" w:hAnsi="Times New Roman"/>
            <w:color w:val="0000FF"/>
            <w:sz w:val="24"/>
            <w:szCs w:val="24"/>
            <w:u w:val="single"/>
          </w:rPr>
          <w:t>Реєстри ліцензіатів</w:t>
        </w:r>
      </w:hyperlink>
      <w:r>
        <w:rPr>
          <w:rFonts w:eastAsia="Times New Roman" w:ascii="Times New Roman" w:hAnsi="Times New Roman"/>
          <w:sz w:val="24"/>
          <w:szCs w:val="24"/>
        </w:rPr>
        <w:t xml:space="preserve"> (вид діяльності — постачання електричної енергії).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Електропостачальник повинен забезпечити поставку електричної енергії на об’єкти замовника</w:t>
      </w:r>
      <w:r>
        <w:rPr>
          <w:rFonts w:ascii="Times New Roman" w:hAnsi="Times New Roman"/>
          <w:sz w:val="24"/>
          <w:szCs w:val="24"/>
        </w:rPr>
        <w:t xml:space="preserve">, які знаходяться за адресами: </w:t>
      </w:r>
      <w:r>
        <w:rPr>
          <w:rFonts w:eastAsia="Times New Roman" w:ascii="Times New Roman" w:hAnsi="Times New Roman"/>
          <w:color w:val="000000"/>
          <w:sz w:val="24"/>
          <w:szCs w:val="24"/>
        </w:rPr>
        <w:t xml:space="preserve">вул. Василя Аксенина, 2Е,  м. Чернівці, Чернівецька обл., Україна, 58001 </w:t>
      </w:r>
      <w:r>
        <w:rPr>
          <w:rFonts w:eastAsia="Times New Roman" w:ascii="Times New Roman" w:hAnsi="Times New Roman"/>
          <w:sz w:val="24"/>
          <w:szCs w:val="24"/>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pPr>
        <w:pStyle w:val="Normal"/>
        <w:spacing w:lineRule="auto" w:line="240" w:before="0" w:after="120"/>
        <w:ind w:firstLine="708"/>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both"/>
        <w:rPr>
          <w:rFonts w:ascii="Times New Roman" w:hAnsi="Times New Roman" w:eastAsia="Times New Roman"/>
          <w:b/>
          <w:sz w:val="24"/>
          <w:szCs w:val="24"/>
        </w:rPr>
      </w:pPr>
      <w:r>
        <w:rPr>
          <w:rFonts w:eastAsia="Times New Roman" w:ascii="Times New Roman" w:hAnsi="Times New Roman"/>
          <w:b/>
          <w:sz w:val="24"/>
          <w:szCs w:val="24"/>
        </w:rPr>
        <w:t xml:space="preserve">Обґрунтування технічних характеристик.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Термін постачання — з  01.11.2025 р. по 31.12.2025 р. включно.</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Обсяг, необхідний для забезпечення діяльності та власних потреб об’єктів замовника становить </w:t>
      </w:r>
      <w:r>
        <w:rPr>
          <w:rFonts w:eastAsia="Times New Roman" w:ascii="Times New Roman" w:hAnsi="Times New Roman"/>
          <w:b/>
          <w:sz w:val="24"/>
          <w:szCs w:val="24"/>
        </w:rPr>
        <w:t>10160 кВт*год</w:t>
      </w:r>
      <w:r>
        <w:rPr>
          <w:rFonts w:eastAsia="Times New Roman" w:ascii="Times New Roman" w:hAnsi="Times New Roman"/>
          <w:sz w:val="24"/>
          <w:szCs w:val="24"/>
        </w:rPr>
        <w:t xml:space="preserve">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b/>
          <w:sz w:val="24"/>
          <w:szCs w:val="24"/>
        </w:rPr>
        <w:t>Обґрунтування якісних характеристик</w:t>
      </w:r>
      <w:r>
        <w:rPr>
          <w:rFonts w:eastAsia="Times New Roman" w:ascii="Times New Roman" w:hAnsi="Times New Roman"/>
          <w:sz w:val="24"/>
          <w:szCs w:val="24"/>
        </w:rPr>
        <w:t xml:space="preserve">. Пунктом 1.1.2 пункту 1.1 розділу І ПРРЕЕ визначено, що </w:t>
      </w:r>
      <w:bookmarkStart w:id="0" w:name="bookmark=id.gjdgxs"/>
      <w:bookmarkEnd w:id="0"/>
      <w:r>
        <w:rPr>
          <w:rFonts w:eastAsia="Times New Roman" w:ascii="Times New Roman" w:hAnsi="Times New Roman"/>
          <w:sz w:val="24"/>
          <w:szCs w:val="24"/>
        </w:rPr>
        <w:t>якість електропостачання — це перелік визначених Регулятором показників</w:t>
      </w:r>
    </w:p>
    <w:p>
      <w:pPr>
        <w:pStyle w:val="Normal"/>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bookmarkEnd w:id="1"/>
      <w:r>
        <w:rPr>
          <w:rFonts w:eastAsia="Times New Roman" w:ascii="Times New Roman" w:hAnsi="Times New Roman"/>
          <w:sz w:val="24"/>
          <w:szCs w:val="24"/>
        </w:rPr>
        <w:t>якість електричної енергії.</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 xml:space="preserve">Згідно зі статтею 18 Закону показники якості електропостачання повинні відповідати величинам, що затверджені НКРЕКП. </w:t>
      </w:r>
    </w:p>
    <w:p>
      <w:pPr>
        <w:pStyle w:val="Normal"/>
        <w:shd w:val="clear" w:color="auto" w:fill="FFFFFF"/>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pPr>
        <w:pStyle w:val="Normal"/>
        <w:shd w:val="clear" w:color="auto" w:fill="FFFFFF"/>
        <w:spacing w:lineRule="auto" w:line="240" w:before="0" w:after="0"/>
        <w:ind w:firstLine="708"/>
        <w:jc w:val="both"/>
        <w:rPr>
          <w:rFonts w:ascii="Times New Roman" w:hAnsi="Times New Roman" w:eastAsia="Times New Roman"/>
          <w:sz w:val="24"/>
          <w:szCs w:val="24"/>
        </w:rPr>
      </w:pPr>
      <w:r>
        <w:rPr>
          <w:rFonts w:eastAsia="Times New Roman" w:ascii="Times New Roman" w:hAnsi="Times New Roman"/>
          <w:sz w:val="24"/>
          <w:szCs w:val="24"/>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pPr>
        <w:pStyle w:val="Normal"/>
        <w:spacing w:lineRule="auto" w:line="240" w:before="0" w:after="0"/>
        <w:ind w:firstLine="720"/>
        <w:jc w:val="both"/>
        <w:rPr>
          <w:rFonts w:ascii="Times New Roman" w:hAnsi="Times New Roman" w:eastAsia="Times New Roman"/>
          <w:sz w:val="24"/>
          <w:szCs w:val="24"/>
        </w:rPr>
      </w:pPr>
      <w:r>
        <w:rPr>
          <w:rFonts w:eastAsia="Times New Roman" w:ascii="Times New Roman" w:hAnsi="Times New Roman"/>
          <w:sz w:val="24"/>
          <w:szCs w:val="24"/>
        </w:rPr>
        <w:t>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sectPr>
      <w:type w:val="nextPage"/>
      <w:pgSz w:w="11906" w:h="16838"/>
      <w:pgMar w:left="1417" w:right="850" w:gutter="0" w:header="0" w:top="709" w:footer="0" w:bottom="85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Liberation Sans">
    <w:altName w:val="Arial"/>
    <w:charset w:val="cc"/>
    <w:family w:val="swiss"/>
    <w:pitch w:val="variable"/>
  </w:font>
  <w:font w:name="Georgia">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uk-UA" w:eastAsia="uk-UA"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1a09"/>
    <w:pPr>
      <w:widowControl/>
      <w:suppressAutoHyphens w:val="true"/>
      <w:bidi w:val="0"/>
      <w:spacing w:lineRule="auto" w:line="276" w:before="0" w:after="200"/>
      <w:jc w:val="left"/>
    </w:pPr>
    <w:rPr>
      <w:rFonts w:ascii="Calibri" w:hAnsi="Calibri" w:eastAsia="Calibri" w:cs="Times New Roman"/>
      <w:color w:val="auto"/>
      <w:kern w:val="0"/>
      <w:sz w:val="22"/>
      <w:szCs w:val="22"/>
      <w:lang w:val="uk-UA" w:eastAsia="uk-UA" w:bidi="ar-SA"/>
    </w:rPr>
  </w:style>
  <w:style w:type="paragraph" w:styleId="Heading1">
    <w:name w:val="heading 1"/>
    <w:basedOn w:val="normal1"/>
    <w:next w:val="normal1"/>
    <w:qFormat/>
    <w:rsid w:val="002a3195"/>
    <w:pPr>
      <w:keepNext w:val="true"/>
      <w:keepLines/>
      <w:spacing w:before="480" w:after="120"/>
      <w:outlineLvl w:val="0"/>
    </w:pPr>
    <w:rPr>
      <w:b/>
      <w:sz w:val="48"/>
      <w:szCs w:val="48"/>
    </w:rPr>
  </w:style>
  <w:style w:type="paragraph" w:styleId="Heading2">
    <w:name w:val="heading 2"/>
    <w:basedOn w:val="normal1"/>
    <w:next w:val="normal1"/>
    <w:qFormat/>
    <w:rsid w:val="002a3195"/>
    <w:pPr>
      <w:keepNext w:val="true"/>
      <w:keepLines/>
      <w:spacing w:before="360" w:after="80"/>
      <w:outlineLvl w:val="1"/>
    </w:pPr>
    <w:rPr>
      <w:b/>
      <w:sz w:val="36"/>
      <w:szCs w:val="36"/>
    </w:rPr>
  </w:style>
  <w:style w:type="paragraph" w:styleId="Heading3">
    <w:name w:val="heading 3"/>
    <w:basedOn w:val="normal1"/>
    <w:next w:val="normal1"/>
    <w:qFormat/>
    <w:rsid w:val="002a3195"/>
    <w:pPr>
      <w:keepNext w:val="true"/>
      <w:keepLines/>
      <w:spacing w:before="280" w:after="80"/>
      <w:outlineLvl w:val="2"/>
    </w:pPr>
    <w:rPr>
      <w:b/>
      <w:sz w:val="28"/>
      <w:szCs w:val="28"/>
    </w:rPr>
  </w:style>
  <w:style w:type="paragraph" w:styleId="Heading4">
    <w:name w:val="heading 4"/>
    <w:basedOn w:val="normal1"/>
    <w:next w:val="normal1"/>
    <w:qFormat/>
    <w:rsid w:val="002a3195"/>
    <w:pPr>
      <w:keepNext w:val="true"/>
      <w:keepLines/>
      <w:spacing w:before="240" w:after="40"/>
      <w:outlineLvl w:val="3"/>
    </w:pPr>
    <w:rPr>
      <w:b/>
      <w:sz w:val="24"/>
      <w:szCs w:val="24"/>
    </w:rPr>
  </w:style>
  <w:style w:type="paragraph" w:styleId="Heading5">
    <w:name w:val="heading 5"/>
    <w:basedOn w:val="normal1"/>
    <w:next w:val="normal1"/>
    <w:qFormat/>
    <w:rsid w:val="002a3195"/>
    <w:pPr>
      <w:keepNext w:val="true"/>
      <w:keepLines/>
      <w:spacing w:before="220" w:after="40"/>
      <w:outlineLvl w:val="4"/>
    </w:pPr>
    <w:rPr>
      <w:b/>
    </w:rPr>
  </w:style>
  <w:style w:type="paragraph" w:styleId="Heading6">
    <w:name w:val="heading 6"/>
    <w:basedOn w:val="normal1"/>
    <w:next w:val="normal1"/>
    <w:qFormat/>
    <w:rsid w:val="002a3195"/>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0" w:customStyle="1">
    <w:name w:val="rvts0"/>
    <w:basedOn w:val="DefaultParagraphFont"/>
    <w:qFormat/>
    <w:rsid w:val="00171a09"/>
    <w:rPr/>
  </w:style>
  <w:style w:type="character" w:styleId="Hyperlink">
    <w:name w:val="Hyperlink"/>
    <w:unhideWhenUsed/>
    <w:rsid w:val="00171a09"/>
    <w:rPr>
      <w:color w:val="0000FF"/>
      <w:u w:val="single"/>
    </w:rPr>
  </w:style>
  <w:style w:type="character" w:styleId="Emphasis">
    <w:name w:val="Emphasis"/>
    <w:qFormat/>
    <w:rsid w:val="00171a09"/>
    <w:rPr>
      <w:i/>
      <w:iCs/>
    </w:rPr>
  </w:style>
  <w:style w:type="paragraph" w:styleId="Style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9">
    <w:name w:val="Покажчик"/>
    <w:basedOn w:val="Normal"/>
    <w:qFormat/>
    <w:pPr>
      <w:suppressLineNumbers/>
    </w:pPr>
    <w:rPr>
      <w:rFonts w:cs="Arial"/>
    </w:rPr>
  </w:style>
  <w:style w:type="paragraph" w:styleId="normal1" w:customStyle="1">
    <w:name w:val="normal1"/>
    <w:qFormat/>
    <w:rsid w:val="002a3195"/>
    <w:pPr>
      <w:widowControl/>
      <w:suppressAutoHyphens w:val="true"/>
      <w:bidi w:val="0"/>
      <w:spacing w:lineRule="auto" w:line="276" w:before="0" w:after="200"/>
      <w:jc w:val="left"/>
    </w:pPr>
    <w:rPr>
      <w:rFonts w:ascii="Calibri" w:hAnsi="Calibri" w:eastAsia="Calibri" w:cs="Calibri"/>
      <w:color w:val="auto"/>
      <w:kern w:val="0"/>
      <w:sz w:val="22"/>
      <w:szCs w:val="22"/>
      <w:lang w:val="uk-UA" w:eastAsia="uk-UA" w:bidi="ar-SA"/>
    </w:rPr>
  </w:style>
  <w:style w:type="paragraph" w:styleId="Title">
    <w:name w:val="Title"/>
    <w:basedOn w:val="normal1"/>
    <w:next w:val="normal1"/>
    <w:qFormat/>
    <w:rsid w:val="002a3195"/>
    <w:pPr>
      <w:keepNext w:val="true"/>
      <w:keepLines/>
      <w:spacing w:before="480" w:after="120"/>
    </w:pPr>
    <w:rPr>
      <w:b/>
      <w:sz w:val="72"/>
      <w:szCs w:val="72"/>
    </w:rPr>
  </w:style>
  <w:style w:type="paragraph" w:styleId="Subtitle">
    <w:name w:val="Subtitle"/>
    <w:basedOn w:val="normal1"/>
    <w:next w:val="normal1"/>
    <w:qFormat/>
    <w:rsid w:val="002a3195"/>
    <w:pPr>
      <w:keepNext w:val="true"/>
      <w:keepLines/>
      <w:spacing w:before="360" w:after="80"/>
    </w:pPr>
    <w:rPr>
      <w:rFonts w:ascii="Georgia" w:hAnsi="Georgia" w:eastAsia="Georgia" w:cs="Georgia"/>
      <w:i/>
      <w:color w:val="666666"/>
      <w:sz w:val="48"/>
      <w:szCs w:val="48"/>
    </w:rPr>
  </w:style>
  <w:style w:type="paragraph" w:styleId="NormalWeb">
    <w:name w:val="Normal (Web)"/>
    <w:basedOn w:val="Normal"/>
    <w:unhideWhenUsed/>
    <w:qFormat/>
    <w:rsid w:val="00d2168a"/>
    <w:pPr>
      <w:spacing w:lineRule="auto" w:line="240" w:beforeAutospacing="1" w:afterAutospacing="1"/>
    </w:pPr>
    <w:rPr>
      <w:rFonts w:ascii="Times New Roman" w:hAnsi="Times New Roman" w:eastAsia="Times New Roman"/>
      <w:sz w:val="24"/>
      <w:szCs w:val="24"/>
      <w:lang w:val="ru-RU"/>
    </w:rPr>
  </w:style>
  <w:style w:type="numbering" w:styleId="Style10" w:default="1">
    <w:name w:val="Без маркерів"/>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2a3195"/>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ree.com.ua/" TargetMode="External"/><Relationship Id="rId3" Type="http://schemas.openxmlformats.org/officeDocument/2006/relationships/hyperlink" Target="https://www.nerc.gov.ua/?id=15950" TargetMode="External"/><Relationship Id="rId4" Type="http://schemas.openxmlformats.org/officeDocument/2006/relationships/hyperlink" Target="https://www.nerc.gov.ua/?id=15953" TargetMode="External"/><Relationship Id="rId5" Type="http://schemas.openxmlformats.org/officeDocument/2006/relationships/hyperlink" Target="https://www.nerc.gov.ua/?id=16075"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xIbeQufqjHiprVrnLsK83Z50wg==">CgMxLjAyCWlkLmdqZGd4czIKaWQuMzBqMHpsbDgAciExVzNtb2dBbjFQTjJ0MS1fQ1IxSU1HTzBPNmdhY29PZ2w=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LibreOffice/24.8.3.2$Windows_X86_64 LibreOffice_project/48a6bac9e7e268aeb4c3483fcf825c94556d9f92</Application>
  <AppVersion>15.0000</AppVersion>
  <Pages>2</Pages>
  <Words>832</Words>
  <Characters>6231</Characters>
  <CharactersWithSpaces>7085</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2025-10-17T07:37:00Z</dcterms:created>
  <dc:creator>userua12</dc:creator>
  <dc:description/>
  <dc:language>uk-UA</dc:language>
  <cp:lastModifiedBy/>
  <cp:lastPrinted>2024-11-07T14:28:00Z</cp:lastPrinted>
  <dcterms:modified xsi:type="dcterms:W3CDTF">2025-10-17T14:53:01Z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