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r="http://schemas.openxmlformats.org/officeDocument/2006/relationships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spacing w:lineRule="auto" w:line="240" w:after="0"/>
        <w:rPr>
          <w:rFonts w:ascii="Times New Roman" w:hAnsi="Times New Roman"/>
          <w:b w:val="1"/>
          <w:bCs w:val="1"/>
          <w:sz w:val="24"/>
          <w:szCs w:val="24"/>
        </w:rPr>
      </w:pPr>
    </w:p>
    <w:p>
      <w:pPr>
        <w:spacing w:lineRule="auto" w:line="240" w:after="0"/>
        <w:jc w:val="center"/>
        <w:rPr>
          <w:rFonts w:ascii="Times New Roman" w:hAnsi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>
      <w:pPr>
        <w:spacing w:lineRule="auto" w:line="240" w:after="120"/>
        <w:contextualSpacing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(відповідно до пункту 4</w:t>
      </w:r>
      <w:r>
        <w:rPr>
          <w:rFonts w:ascii="Times New Roman" w:hAnsi="Times New Roman"/>
          <w:color w:val="FF0000"/>
          <w:sz w:val="28"/>
          <w:szCs w:val="28"/>
          <w:vertAlign w:val="superscript"/>
        </w:rPr>
        <w:t>1</w:t>
      </w:r>
      <w:r>
        <w:rPr>
          <w:rFonts w:ascii="Times New Roman" w:hAnsi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/>
          <w:sz w:val="28"/>
          <w:szCs w:val="28"/>
        </w:rPr>
        <w:t>постанови КМУ від 11.10.2016 № 710 «Про ефективне використання державних коштів» (зі змінами))</w:t>
      </w:r>
    </w:p>
    <w:p>
      <w:pPr>
        <w:pStyle w:val="P2"/>
        <w:numPr>
          <w:ilvl w:val="0"/>
          <w:numId w:val="1"/>
        </w:numPr>
        <w:tabs>
          <w:tab w:val="left" w:pos="851" w:leader="none"/>
        </w:tabs>
        <w:spacing w:lineRule="auto" w:line="240" w:after="120"/>
        <w:ind w:firstLine="425" w:left="0"/>
        <w:contextualSpacing w:val="0"/>
        <w:jc w:val="both"/>
        <w:rPr>
          <w:rFonts w:ascii="Times New Roman" w:hAnsi="Times New Roman"/>
          <w:sz w:val="28"/>
          <w:szCs w:val="28"/>
          <w:lang/>
        </w:rPr>
      </w:pPr>
      <w:r>
        <w:rPr>
          <w:rFonts w:ascii="Times New Roman" w:hAnsi="Times New Roman"/>
          <w:b w:val="1"/>
          <w:bCs w:val="1"/>
          <w:sz w:val="28"/>
          <w:szCs w:val="28"/>
          <w:lang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>
        <w:rPr>
          <w:rFonts w:ascii="Times New Roman" w:hAnsi="Times New Roman"/>
          <w:sz w:val="28"/>
          <w:szCs w:val="28"/>
          <w:lang/>
        </w:rPr>
        <w:t>Державна казначейська служба України; код за ЄДРПОУ – 37567646; категорія замовника – орган державної влади.</w:t>
      </w:r>
    </w:p>
    <w:p>
      <w:pPr>
        <w:pStyle w:val="P2"/>
        <w:numPr>
          <w:ilvl w:val="0"/>
          <w:numId w:val="1"/>
        </w:numPr>
        <w:tabs>
          <w:tab w:val="left" w:pos="851" w:leader="none"/>
        </w:tabs>
        <w:spacing w:lineRule="auto" w:line="240" w:after="120"/>
        <w:ind w:firstLine="425" w:left="0"/>
        <w:contextualSpacing w:val="0"/>
        <w:jc w:val="both"/>
        <w:rPr>
          <w:rFonts w:ascii="Times New Roman" w:hAnsi="Times New Roman"/>
          <w:color w:val="0000FF"/>
          <w:sz w:val="28"/>
          <w:szCs w:val="28"/>
          <w:lang/>
        </w:rPr>
      </w:pPr>
      <w:r>
        <w:rPr>
          <w:rFonts w:ascii="Times New Roman" w:hAnsi="Times New Roman"/>
          <w:b w:val="1"/>
          <w:bCs w:val="1"/>
          <w:sz w:val="28"/>
          <w:szCs w:val="28"/>
          <w:lang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rFonts w:ascii="Times New Roman" w:hAnsi="Times New Roman"/>
          <w:color w:val="000000"/>
          <w:sz w:val="28"/>
          <w:szCs w:val="28"/>
        </w:rPr>
        <w:t>«72250000-2 – Послуги, пов'язані із системами та підтримкою (Послуги по супроводженню та технічній підтримці мережного криптомодулю «Шифр-HSM»)»</w:t>
      </w:r>
      <w:r>
        <w:rPr>
          <w:rFonts w:ascii="Times New Roman" w:hAnsi="Times New Roman"/>
          <w:sz w:val="28"/>
          <w:szCs w:val="28"/>
        </w:rPr>
        <w:t>.</w:t>
      </w:r>
    </w:p>
    <w:p>
      <w:pPr>
        <w:rPr>
          <w:rFonts w:ascii="Times New Roman" w:hAnsi="Times New Roman"/>
          <w:sz w:val="24"/>
          <w:szCs w:val="24"/>
          <w:lang/>
        </w:rPr>
      </w:pPr>
      <w:r>
        <w:rPr>
          <w:rFonts w:ascii="Times New Roman" w:hAnsi="Times New Roman"/>
          <w:b w:val="1"/>
          <w:bCs w:val="1"/>
          <w:sz w:val="28"/>
          <w:szCs w:val="28"/>
          <w:lang/>
        </w:rPr>
        <w:t xml:space="preserve">Ідентифікатор закупівлі: </w:t>
      </w:r>
      <w:r>
        <w:rPr>
          <w:rFonts w:ascii="Times New Roman" w:hAnsi="Times New Roman"/>
          <w:color w:val="000000"/>
          <w:sz w:val="28"/>
          <w:szCs w:val="28"/>
          <w:lang/>
        </w:rPr>
        <w:t>UA-2026-02-24-010158-a.</w:t>
      </w:r>
      <w:r>
        <w:rPr>
          <w:rFonts w:ascii="Times New Roman" w:hAnsi="Times New Roman"/>
          <w:sz w:val="28"/>
          <w:szCs w:val="28"/>
          <w:lang w:val="en-US"/>
        </w:rPr>
        <w:t>doc.</w:t>
      </w:r>
    </w:p>
    <w:p>
      <w:pPr>
        <w:pStyle w:val="P2"/>
        <w:numPr>
          <w:ilvl w:val="0"/>
          <w:numId w:val="1"/>
        </w:numPr>
        <w:tabs>
          <w:tab w:val="left" w:pos="851" w:leader="none"/>
        </w:tabs>
        <w:spacing w:lineRule="auto" w:line="240" w:after="120"/>
        <w:ind w:firstLine="425" w:left="0"/>
        <w:contextualSpacing w:val="0"/>
        <w:jc w:val="both"/>
        <w:rPr>
          <w:rFonts w:ascii="Times New Roman" w:hAnsi="Times New Roman"/>
          <w:sz w:val="28"/>
          <w:szCs w:val="28"/>
          <w:lang/>
        </w:rPr>
      </w:pPr>
      <w:r>
        <w:rPr>
          <w:rFonts w:ascii="Times New Roman" w:hAnsi="Times New Roman"/>
          <w:b w:val="1"/>
          <w:bCs w:val="1"/>
          <w:sz w:val="28"/>
          <w:szCs w:val="28"/>
          <w:lang/>
        </w:rPr>
        <w:t>Обґрунтування технічних та якісних характеристик предмета закупівлі:</w:t>
      </w:r>
      <w:r>
        <w:rPr>
          <w:rFonts w:ascii="Times New Roman" w:hAnsi="Times New Roman"/>
          <w:b w:val="1"/>
          <w:bCs w:val="1"/>
          <w:sz w:val="28"/>
          <w:szCs w:val="28"/>
          <w:lang/>
        </w:rPr>
        <w:t xml:space="preserve"> </w:t>
      </w:r>
      <w:r>
        <w:rPr>
          <w:rFonts w:ascii="Times New Roman" w:hAnsi="Times New Roman"/>
          <w:sz w:val="28"/>
          <w:szCs w:val="28"/>
          <w:lang/>
        </w:rPr>
        <w:t>технічні та якісні характеристики предмета закупівлі визначені відповідно до потреб замовника з урахуванням встановленого обладнання, а також вимог нормативних документів у сфері електронних довірчих послуг.</w:t>
      </w:r>
    </w:p>
    <w:p>
      <w:pPr>
        <w:pStyle w:val="P2"/>
        <w:numPr>
          <w:ilvl w:val="0"/>
          <w:numId w:val="1"/>
        </w:numPr>
        <w:tabs>
          <w:tab w:val="left" w:pos="851" w:leader="none"/>
        </w:tabs>
        <w:spacing w:lineRule="auto" w:line="240" w:after="120"/>
        <w:ind w:firstLine="425" w:left="0"/>
        <w:contextualSpacing w:val="0"/>
        <w:jc w:val="both"/>
        <w:rPr>
          <w:rFonts w:ascii="Times New Roman" w:hAnsi="Times New Roman"/>
          <w:sz w:val="28"/>
          <w:szCs w:val="28"/>
          <w:lang/>
        </w:rPr>
      </w:pPr>
      <w:r>
        <w:rPr>
          <w:rFonts w:ascii="Times New Roman" w:hAnsi="Times New Roman"/>
          <w:b w:val="1"/>
          <w:bCs w:val="1"/>
          <w:sz w:val="28"/>
          <w:szCs w:val="28"/>
          <w:lang/>
        </w:rPr>
        <w:t xml:space="preserve">Обґрунтування </w:t>
      </w:r>
      <w:r>
        <w:rPr>
          <w:rFonts w:ascii="Times New Roman" w:hAnsi="Times New Roman"/>
          <w:b w:val="1"/>
          <w:bCs w:val="1"/>
          <w:sz w:val="28"/>
          <w:szCs w:val="28"/>
          <w:lang/>
        </w:rPr>
        <w:t>розміру бюджетного призначення</w:t>
      </w:r>
      <w:r>
        <w:rPr>
          <w:rFonts w:ascii="Times New Roman" w:hAnsi="Times New Roman"/>
          <w:b w:val="1"/>
          <w:bCs w:val="1"/>
          <w:sz w:val="28"/>
          <w:szCs w:val="28"/>
          <w:lang/>
        </w:rPr>
        <w:t>:</w:t>
      </w:r>
      <w:r>
        <w:rPr>
          <w:rFonts w:ascii="Times New Roman" w:hAnsi="Times New Roman"/>
          <w:b w:val="1"/>
          <w:bCs w:val="1"/>
          <w:sz w:val="28"/>
          <w:szCs w:val="28"/>
          <w:lang/>
        </w:rPr>
        <w:t xml:space="preserve"> </w:t>
      </w:r>
      <w:r>
        <w:rPr>
          <w:rFonts w:ascii="Times New Roman" w:hAnsi="Times New Roman"/>
          <w:sz w:val="28"/>
          <w:szCs w:val="28"/>
          <w:lang/>
        </w:rPr>
        <w:t>розмір бюджетного призначення визначений відповідно до розрахунку про</w:t>
      </w:r>
      <w:r>
        <w:rPr>
          <w:rFonts w:ascii="Times New Roman" w:hAnsi="Times New Roman"/>
          <w:sz w:val="28"/>
          <w:szCs w:val="28"/>
          <w:lang w:val="uk-UA"/>
        </w:rPr>
        <w:t>є</w:t>
      </w:r>
      <w:r>
        <w:rPr>
          <w:rFonts w:ascii="Times New Roman" w:hAnsi="Times New Roman"/>
          <w:sz w:val="28"/>
          <w:szCs w:val="28"/>
          <w:lang/>
        </w:rPr>
        <w:t>кту кошторису на 202</w:t>
      </w:r>
      <w:r>
        <w:rPr>
          <w:rFonts w:ascii="Times New Roman" w:hAnsi="Times New Roman"/>
          <w:sz w:val="28"/>
          <w:szCs w:val="28"/>
          <w:lang w:val="uk-UA"/>
        </w:rPr>
        <w:t>6</w:t>
      </w:r>
      <w:r>
        <w:rPr>
          <w:rFonts w:ascii="Times New Roman" w:hAnsi="Times New Roman"/>
          <w:sz w:val="28"/>
          <w:szCs w:val="28"/>
          <w:lang/>
        </w:rPr>
        <w:t xml:space="preserve"> рік.</w:t>
      </w:r>
    </w:p>
    <w:p>
      <w:pPr>
        <w:pStyle w:val="P2"/>
        <w:numPr>
          <w:ilvl w:val="0"/>
          <w:numId w:val="1"/>
        </w:numPr>
        <w:tabs>
          <w:tab w:val="left" w:pos="851" w:leader="none"/>
        </w:tabs>
        <w:spacing w:lineRule="auto" w:line="240" w:after="120"/>
        <w:ind w:firstLine="425" w:left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lang/>
        </w:rPr>
        <w:t xml:space="preserve">Очікувана вартість предмета закупівлі: </w:t>
      </w:r>
      <w:r>
        <w:rPr>
          <w:rFonts w:ascii="Times New Roman" w:hAnsi="Times New Roman"/>
          <w:sz w:val="28"/>
          <w:szCs w:val="28"/>
          <w:lang w:val="ru-RU"/>
        </w:rPr>
        <w:t>120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  <w:lang w:val="ru-RU"/>
        </w:rPr>
        <w:t>000</w:t>
      </w:r>
      <w:r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>00</w:t>
      </w:r>
      <w:r>
        <w:rPr>
          <w:rFonts w:ascii="Times New Roman" w:hAnsi="Times New Roman"/>
          <w:sz w:val="28"/>
          <w:szCs w:val="28"/>
          <w:lang/>
        </w:rPr>
        <w:t xml:space="preserve"> грн з ПДВ.</w:t>
      </w:r>
    </w:p>
    <w:p>
      <w:pPr>
        <w:pStyle w:val="P2"/>
        <w:numPr>
          <w:ilvl w:val="0"/>
          <w:numId w:val="1"/>
        </w:numPr>
        <w:tabs>
          <w:tab w:val="left" w:pos="851" w:leader="none"/>
        </w:tabs>
        <w:spacing w:lineRule="auto" w:line="240" w:after="0"/>
        <w:ind w:firstLine="425" w:left="0"/>
        <w:contextualSpacing w:val="0"/>
        <w:jc w:val="both"/>
        <w:rPr>
          <w:rFonts w:ascii="Times New Roman" w:hAnsi="Times New Roman"/>
          <w:b w:val="1"/>
          <w:bCs w:val="1"/>
          <w:sz w:val="28"/>
          <w:szCs w:val="28"/>
          <w:lang/>
        </w:rPr>
      </w:pPr>
      <w:r>
        <w:rPr>
          <w:rFonts w:ascii="Times New Roman" w:hAnsi="Times New Roman"/>
          <w:b w:val="1"/>
          <w:bCs w:val="1"/>
          <w:sz w:val="28"/>
          <w:szCs w:val="28"/>
          <w:lang/>
        </w:rPr>
        <w:t>Обґрунтування</w:t>
      </w:r>
      <w:r>
        <w:rPr>
          <w:rFonts w:ascii="Times New Roman" w:hAnsi="Times New Roman"/>
          <w:b w:val="1"/>
          <w:bCs w:val="1"/>
          <w:sz w:val="28"/>
          <w:szCs w:val="28"/>
          <w:lang/>
        </w:rPr>
        <w:t xml:space="preserve"> очікуваної вартості предмета закупівлі</w:t>
      </w:r>
      <w:r>
        <w:rPr>
          <w:rFonts w:ascii="Times New Roman" w:hAnsi="Times New Roman"/>
          <w:b w:val="1"/>
          <w:bCs w:val="1"/>
          <w:sz w:val="28"/>
          <w:szCs w:val="28"/>
          <w:lang/>
        </w:rPr>
        <w:t>:</w:t>
      </w:r>
    </w:p>
    <w:p>
      <w:pPr>
        <w:pStyle w:val="P3"/>
        <w:spacing w:before="120" w:after="0" w:beforeAutospacing="0" w:afterAutospacing="0"/>
        <w:ind w:firstLine="709"/>
        <w:jc w:val="both"/>
        <w:rPr>
          <w:sz w:val="28"/>
          <w:szCs w:val="28"/>
          <w:highlight w:val="cyan"/>
        </w:rPr>
      </w:pPr>
      <w:r>
        <w:rPr>
          <w:sz w:val="28"/>
          <w:szCs w:val="28"/>
        </w:rPr>
        <w:t xml:space="preserve">Визначено відповідно до Методики визначення очікуваної вартості предмета закупівлі під час здійснення публічних закупівель у Державній казначейській службі України, затвердженої наказом Казначейства від </w:t>
      </w:r>
      <w:r>
        <w:rPr>
          <w:sz w:val="28"/>
          <w:szCs w:val="28"/>
          <w:lang/>
        </w:rPr>
        <w:t>10.01.2025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/>
        </w:rPr>
        <w:t xml:space="preserve">9 </w:t>
      </w:r>
      <w:r>
        <w:rPr>
          <w:sz w:val="28"/>
          <w:szCs w:val="28"/>
        </w:rPr>
        <w:t>(далі – Методика) (розробленої з урахуванням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 275 (зі змінами)).</w:t>
      </w:r>
    </w:p>
    <w:p>
      <w:pPr>
        <w:pStyle w:val="P3"/>
        <w:spacing w:before="120" w:after="0"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Для визначення очікуваної вартості предмета закупівлі відповідно до</w:t>
      </w:r>
      <w:r>
        <w:rPr>
          <w:b w:val="1"/>
          <w:bCs w:val="1"/>
          <w:sz w:val="28"/>
          <w:szCs w:val="28"/>
        </w:rPr>
        <w:t xml:space="preserve">  методу порівняння ринкових цін,</w:t>
      </w:r>
      <w:r>
        <w:rPr>
          <w:sz w:val="28"/>
          <w:szCs w:val="28"/>
        </w:rPr>
        <w:t xml:space="preserve"> здійснено наступні дії.</w:t>
      </w:r>
    </w:p>
    <w:p>
      <w:pPr>
        <w:pStyle w:val="P3"/>
        <w:spacing w:before="0" w:after="0"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Даний метод передбачає аналіз цін, отриманих та приведених до єдиних умов.</w:t>
      </w:r>
    </w:p>
    <w:p>
      <w:pPr>
        <w:pStyle w:val="P3"/>
        <w:spacing w:before="120" w:after="0" w:beforeAutospacing="0" w:afterAutospacing="0"/>
        <w:ind w:firstLine="709"/>
        <w:contextualSpacing w:val="1"/>
        <w:jc w:val="both"/>
        <w:rPr>
          <w:sz w:val="28"/>
          <w:szCs w:val="28"/>
          <w:lang/>
        </w:rPr>
      </w:pPr>
      <w:r>
        <w:rPr>
          <w:sz w:val="28"/>
          <w:szCs w:val="28"/>
        </w:rPr>
        <w:t>З метою отримання комерційних пропозицій від потенційних учасників ринку, які надають аналогічні Послуги, та з метою визначення таких учасників,</w:t>
      </w:r>
      <w:r>
        <w:rPr>
          <w:sz w:val="28"/>
          <w:szCs w:val="28"/>
        </w:rPr>
        <w:t xml:space="preserve"> проаналізовано</w:t>
      </w:r>
      <w:r>
        <w:rPr>
          <w:sz w:val="28"/>
          <w:szCs w:val="28"/>
          <w:lang/>
        </w:rPr>
        <w:t xml:space="preserve"> електронну систему закупівель </w:t>
      </w:r>
      <w:r>
        <w:rPr>
          <w:sz w:val="28"/>
          <w:szCs w:val="28"/>
        </w:rPr>
        <w:t>«ProZorro»</w:t>
      </w:r>
      <w:r>
        <w:rPr>
          <w:sz w:val="28"/>
          <w:szCs w:val="28"/>
          <w:lang/>
        </w:rPr>
        <w:t xml:space="preserve"> на предмет проведення закупівель аналогічних послуг у 2025 році, зокрема, по </w:t>
      </w:r>
      <w:r>
        <w:rPr>
          <w:sz w:val="28"/>
          <w:szCs w:val="28"/>
        </w:rPr>
        <w:t xml:space="preserve">супроводженню та технічній підтримці </w:t>
      </w:r>
      <w:r>
        <w:rPr>
          <w:color w:val="000000"/>
          <w:sz w:val="28"/>
          <w:szCs w:val="28"/>
        </w:rPr>
        <w:t>мережних криптомодулів</w:t>
      </w:r>
      <w:r>
        <w:rPr>
          <w:sz w:val="28"/>
          <w:szCs w:val="28"/>
          <w:lang/>
        </w:rPr>
        <w:t>, що завершились укладанням договорів:</w:t>
      </w:r>
    </w:p>
    <w:p>
      <w:pPr>
        <w:pStyle w:val="P3"/>
        <w:numPr>
          <w:ilvl w:val="0"/>
          <w:numId w:val="2"/>
        </w:numPr>
        <w:spacing w:before="120" w:after="0" w:beforeAutospacing="0" w:afterAutospacing="0"/>
        <w:ind w:firstLine="709" w:left="0"/>
        <w:contextualSpacing w:val="1"/>
        <w:jc w:val="both"/>
        <w:rPr>
          <w:sz w:val="28"/>
          <w:szCs w:val="28"/>
        </w:rPr>
      </w:pPr>
      <w:r>
        <w:rPr>
          <w:rFonts w:ascii="Times New Roman CYR" w:hAnsi="Times New Roman CYR"/>
          <w:color w:val="000000"/>
          <w:sz w:val="28"/>
          <w:szCs w:val="28"/>
        </w:rPr>
        <w:t xml:space="preserve">ідентифікатор закупівлі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  <w:lang w:val="en-US"/>
        </w:rPr>
        <w:t>UA</w:t>
      </w:r>
      <w:r>
        <w:rPr>
          <w:sz w:val="28"/>
          <w:szCs w:val="28"/>
        </w:rPr>
        <w:t>-2025-08-04-008101-</w:t>
      </w:r>
      <w:r>
        <w:rPr>
          <w:sz w:val="28"/>
          <w:szCs w:val="28"/>
          <w:lang w:val="en-US"/>
        </w:rPr>
        <w:t>a</w:t>
      </w:r>
      <w:r>
        <w:rPr>
          <w:sz w:val="28"/>
          <w:szCs w:val="28"/>
        </w:rPr>
        <w:t>, замовник: акціонерне товариство «Національна акціонерна компанія «Нафтогаз України»» – 161 501,88 грн, виконавець: приватне акціонерне товариство «Інститут інформаційних технологій», термін надання послуги 12 місяців з дати укладання договору;</w:t>
      </w:r>
    </w:p>
    <w:p>
      <w:pPr>
        <w:pStyle w:val="P3"/>
        <w:numPr>
          <w:ilvl w:val="0"/>
          <w:numId w:val="2"/>
        </w:numPr>
        <w:spacing w:before="120" w:after="0" w:beforeAutospacing="0" w:afterAutospacing="0"/>
        <w:ind w:firstLine="709" w:left="0"/>
        <w:contextualSpacing w:val="1"/>
        <w:jc w:val="both"/>
        <w:rPr>
          <w:sz w:val="28"/>
          <w:szCs w:val="28"/>
        </w:rPr>
      </w:pPr>
      <w:r>
        <w:rPr>
          <w:rFonts w:ascii="Times New Roman CYR" w:hAnsi="Times New Roman CYR"/>
          <w:color w:val="000000"/>
          <w:sz w:val="28"/>
          <w:szCs w:val="28"/>
        </w:rPr>
        <w:t xml:space="preserve">ідентифікатор закупівлі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  <w:lang w:val="en-US"/>
        </w:rPr>
        <w:t>UA</w:t>
      </w:r>
      <w:r>
        <w:rPr>
          <w:sz w:val="28"/>
          <w:szCs w:val="28"/>
        </w:rPr>
        <w:t>-2025-10-30-012416-</w:t>
      </w:r>
      <w:r>
        <w:rPr>
          <w:sz w:val="28"/>
          <w:szCs w:val="28"/>
          <w:lang w:val="en-US"/>
        </w:rPr>
        <w:t>a</w:t>
      </w:r>
      <w:r>
        <w:rPr>
          <w:sz w:val="28"/>
          <w:szCs w:val="28"/>
        </w:rPr>
        <w:t>, замовник: акціонерне товариство «Оператор ринку» – 32 024,96 грн, виконавець: приватне акціонерне товариство «Інститут інформаційних технологій», термін надання послуги з 30.10.2025 по 29.10.2026;</w:t>
      </w:r>
    </w:p>
    <w:p>
      <w:pPr>
        <w:pStyle w:val="P3"/>
        <w:numPr>
          <w:ilvl w:val="0"/>
          <w:numId w:val="2"/>
        </w:numPr>
        <w:spacing w:before="0" w:after="0" w:beforeAutospacing="0" w:afterAutospacing="0"/>
        <w:ind w:firstLine="709" w:left="0"/>
        <w:contextualSpacing w:val="1"/>
        <w:jc w:val="both"/>
        <w:rPr>
          <w:sz w:val="28"/>
          <w:szCs w:val="28"/>
        </w:rPr>
      </w:pPr>
      <w:r>
        <w:rPr>
          <w:rFonts w:ascii="Times New Roman CYR" w:hAnsi="Times New Roman CYR"/>
          <w:color w:val="000000"/>
          <w:sz w:val="28"/>
          <w:szCs w:val="28"/>
        </w:rPr>
        <w:t xml:space="preserve">ідентифікатор закупівлі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  <w:lang w:val="en-US"/>
        </w:rPr>
        <w:t>UA</w:t>
      </w:r>
      <w:r>
        <w:rPr>
          <w:sz w:val="28"/>
          <w:szCs w:val="28"/>
        </w:rPr>
        <w:t>-2025-10-20-014248-</w:t>
      </w:r>
      <w:r>
        <w:rPr>
          <w:sz w:val="28"/>
          <w:szCs w:val="28"/>
          <w:lang w:val="en-US"/>
        </w:rPr>
        <w:t>a</w:t>
      </w:r>
      <w:r>
        <w:rPr>
          <w:sz w:val="28"/>
          <w:szCs w:val="28"/>
        </w:rPr>
        <w:t>, замовник: центральна виборча комісія – 2 812,00 грн, виконавець: приватне акціонерне товариство «Інститут інформаційних технологій», термін надання послуги з 17.10.2025 по 31.12.2025 (включно).</w:t>
      </w:r>
    </w:p>
    <w:p>
      <w:pPr>
        <w:pStyle w:val="P3"/>
        <w:spacing w:before="0" w:after="0" w:beforeAutospacing="0" w:afterAutospacing="0"/>
        <w:ind w:firstLine="709"/>
        <w:contextualSpacing w:val="1"/>
        <w:jc w:val="both"/>
        <w:rPr>
          <w:sz w:val="28"/>
          <w:szCs w:val="28"/>
        </w:rPr>
      </w:pPr>
      <w:r>
        <w:rPr>
          <w:sz w:val="28"/>
          <w:szCs w:val="28"/>
        </w:rPr>
        <w:t>Також, проведений аналіз засвідчив, що відповідні умови здійснення іншими замовниками закупівель, що є аналогічними (за своєю суттю) закупівлі Казначейства, мають свою специфіку (зокрема, в частині технічних та якісних характеристик предмета закупівлі), у зв’язку з чим привести ціни до єдиних умов (зокрема, в частині технічних та якісних характеристик предмета закупівлі Казначейства), не вбачається можливим.</w:t>
      </w:r>
    </w:p>
    <w:p>
      <w:pPr>
        <w:pStyle w:val="P3"/>
        <w:spacing w:before="0" w:after="120" w:beforeAutospacing="0" w:afterAutospacing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Отже, Метод порівняння ринкових цін не може бути застосований.</w:t>
      </w:r>
    </w:p>
    <w:p>
      <w:pPr>
        <w:pStyle w:val="P3"/>
        <w:spacing w:before="0" w:after="0"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Абзац 2 пункту 3.2 Методики визначає, серед іншого, що у разі неможливості отримання достатньої кількості інформації щодо актуальних ринкових цін доцільно застосовувати </w:t>
      </w:r>
      <w:r>
        <w:rPr>
          <w:b w:val="1"/>
          <w:bCs w:val="1"/>
          <w:sz w:val="28"/>
          <w:szCs w:val="28"/>
        </w:rPr>
        <w:t>метод аналізу закупівельних цін минулих періодів</w:t>
      </w:r>
      <w:r>
        <w:rPr>
          <w:sz w:val="28"/>
          <w:szCs w:val="28"/>
        </w:rPr>
        <w:t>.</w:t>
      </w:r>
    </w:p>
    <w:p>
      <w:pPr>
        <w:pStyle w:val="P3"/>
        <w:spacing w:before="0" w:after="0" w:beforeAutospacing="0" w:afterAutospacing="0"/>
        <w:ind w:firstLine="709"/>
        <w:contextualSpacing w:val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2025 році Казначейству послуги по супроводженню та технічній підтримці </w:t>
      </w:r>
      <w:r>
        <w:rPr>
          <w:color w:val="000000"/>
          <w:sz w:val="28"/>
          <w:szCs w:val="28"/>
        </w:rPr>
        <w:t>мережного криптомодулю «Шифр-HSM», відповідно до договору</w:t>
      </w:r>
      <w:r>
        <w:rPr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</w:rPr>
        <w:br w:type="textWrapping"/>
      </w:r>
      <w:r>
        <w:rPr>
          <w:color w:val="000000"/>
          <w:sz w:val="28"/>
          <w:szCs w:val="28"/>
        </w:rPr>
        <w:t xml:space="preserve">від 17.04.2025 № 60-25 надавало </w:t>
      </w:r>
      <w:r>
        <w:rPr>
          <w:sz w:val="28"/>
          <w:szCs w:val="28"/>
        </w:rPr>
        <w:t xml:space="preserve">Товариство з обмеженою відповідальністю «САЙФЕР ПРО» (далі – ТОВ «САЙФЕР ПРО»). </w:t>
      </w:r>
      <w:r>
        <w:rPr>
          <w:sz w:val="28"/>
          <w:szCs w:val="28"/>
          <w:lang/>
        </w:rPr>
        <w:t xml:space="preserve">Ціна договору становила </w:t>
      </w:r>
      <w:r>
        <w:rPr>
          <w:sz w:val="28"/>
          <w:szCs w:val="28"/>
          <w:lang/>
        </w:rPr>
        <w:br w:type="textWrapping"/>
      </w:r>
      <w:r>
        <w:rPr>
          <w:sz w:val="28"/>
          <w:szCs w:val="28"/>
          <w:lang/>
        </w:rPr>
        <w:t>80 000,00 грн з ПДВ.</w:t>
      </w:r>
      <w:r>
        <w:rPr>
          <w:sz w:val="28"/>
          <w:szCs w:val="28"/>
        </w:rPr>
        <w:t xml:space="preserve"> </w:t>
      </w:r>
    </w:p>
    <w:p>
      <w:pPr>
        <w:pStyle w:val="P3"/>
        <w:spacing w:before="0" w:after="0" w:beforeAutospacing="0" w:afterAutospacing="0"/>
        <w:ind w:firstLine="708"/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 xml:space="preserve">При цьому, </w:t>
      </w:r>
      <w:r>
        <w:rPr>
          <w:sz w:val="28"/>
          <w:szCs w:val="28"/>
        </w:rPr>
        <w:t xml:space="preserve">проєкт договору 2026 року містить додаткову вимогу, якою передбачено </w:t>
      </w:r>
      <w:r>
        <w:rPr>
          <w:rStyle w:val="C5"/>
          <w:sz w:val="28"/>
          <w:szCs w:val="28"/>
        </w:rPr>
        <w:t xml:space="preserve">здійснення виїзного обслуговування </w:t>
      </w:r>
      <w:r>
        <w:rPr>
          <w:color w:val="000000"/>
          <w:sz w:val="28"/>
          <w:szCs w:val="28"/>
        </w:rPr>
        <w:t>мережного криптомодулю «Шифр-HSM»</w:t>
      </w:r>
      <w:r>
        <w:rPr>
          <w:rStyle w:val="C5"/>
          <w:sz w:val="28"/>
          <w:szCs w:val="28"/>
        </w:rPr>
        <w:t xml:space="preserve"> на майданчику Замовника.</w:t>
      </w:r>
    </w:p>
    <w:p>
      <w:pPr>
        <w:pStyle w:val="P3"/>
        <w:spacing w:before="0" w:after="0" w:beforeAutospacing="0" w:afterAutospacing="0"/>
        <w:ind w:firstLine="709"/>
        <w:contextualSpacing w:val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зв’язку з цим, договір 2025 року з ТОВ «САЙФЕР ПРО» та проєкт договору 2026 року </w:t>
      </w:r>
      <w:r>
        <w:rPr>
          <w:b w:val="1"/>
          <w:bCs w:val="1"/>
          <w:sz w:val="28"/>
          <w:szCs w:val="28"/>
        </w:rPr>
        <w:t>не є співставними</w:t>
      </w:r>
      <w:r>
        <w:rPr>
          <w:sz w:val="28"/>
          <w:szCs w:val="28"/>
        </w:rPr>
        <w:t>, зокрема в частині переліку послуг. Таким чином, вбачається не можливим застосувати при розрахунку очікуваної вартості метод аналізу закупівельних цін минулих періодів.</w:t>
      </w:r>
    </w:p>
    <w:p>
      <w:pPr>
        <w:pStyle w:val="P3"/>
        <w:spacing w:before="120" w:after="0"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Метод розрахунку очікуваної вартості товарів/послуг, щодо яких проводиться державне регулювання цін і тарифів (підпункт 3.3 Методики) для даного   предмета закупівлі не застосовується.</w:t>
      </w:r>
    </w:p>
    <w:p>
      <w:pPr>
        <w:pStyle w:val="P3"/>
        <w:spacing w:before="0" w:after="0"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чином, у процесі розрахунку очікуваної вартості послуг з метою проведення процедури закупівлі не є можливим застосувати ані метод порівняння ринкових цін, ані метод аналізу закупівельних цін минулих періодів, ані метод розрахунку очікуваної вартості товарів/послуг, щодо яких проводиться державне регулювання цін і тарифів.</w:t>
      </w:r>
    </w:p>
    <w:p>
      <w:pPr>
        <w:pStyle w:val="P3"/>
        <w:spacing w:before="0" w:after="0"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абзацу 2 підпункту 2.5 розділу ІІ Методики, спосіб розрахунку очікуваної вартості предмета закупівлі залежить від виду предмета закупівлі, його розповсюдженості на ринку, порядку формування ціни на нього.</w:t>
      </w:r>
    </w:p>
    <w:p>
      <w:pPr>
        <w:pStyle w:val="P3"/>
        <w:spacing w:before="120" w:after="0" w:beforeAutospacing="0" w:afterAutospacing="0"/>
        <w:ind w:firstLine="709"/>
        <w:jc w:val="both"/>
        <w:rPr>
          <w:color w:val="000000"/>
          <w:sz w:val="28"/>
          <w:szCs w:val="28"/>
          <w:shd w:val="clear" w:color="auto" w:fill="FFFFFF"/>
          <w:lang/>
        </w:rPr>
      </w:pPr>
      <w:r>
        <w:rPr>
          <w:sz w:val="28"/>
          <w:szCs w:val="28"/>
          <w:lang/>
        </w:rPr>
        <w:t xml:space="preserve">Треба зазначити, що у процесі підготовки пропозицій до кошторису Казначейства на 2026 рік, від </w:t>
      </w:r>
      <w:r>
        <w:rPr>
          <w:sz w:val="28"/>
          <w:szCs w:val="28"/>
        </w:rPr>
        <w:t xml:space="preserve">розробника і виробника </w:t>
      </w:r>
      <w:r>
        <w:rPr>
          <w:color w:val="000000"/>
          <w:sz w:val="28"/>
          <w:szCs w:val="28"/>
        </w:rPr>
        <w:t>мережного криптомодулю «Шифр-HSM»</w:t>
      </w:r>
      <w:r>
        <w:rPr>
          <w:sz w:val="28"/>
          <w:szCs w:val="28"/>
        </w:rPr>
        <w:t xml:space="preserve"> ТОВ «</w:t>
      </w:r>
      <w:r>
        <w:rPr>
          <w:sz w:val="28"/>
          <w:szCs w:val="28"/>
          <w:lang/>
        </w:rPr>
        <w:t>САЙФЕР ПРО</w:t>
      </w:r>
      <w:r>
        <w:rPr>
          <w:sz w:val="28"/>
          <w:szCs w:val="28"/>
        </w:rPr>
        <w:t xml:space="preserve">» листом від 23.06.2025  № 81/25 (вх. 06-48587 від 23.06.2025) отримано цінову пропозицію по супроводженню та технічній підтримці </w:t>
      </w:r>
      <w:r>
        <w:rPr>
          <w:color w:val="000000"/>
          <w:sz w:val="28"/>
          <w:szCs w:val="28"/>
        </w:rPr>
        <w:t xml:space="preserve">мережного криптомодулю «Шифр-HSM» </w:t>
      </w:r>
      <w:r>
        <w:rPr>
          <w:sz w:val="28"/>
          <w:szCs w:val="28"/>
        </w:rPr>
        <w:t xml:space="preserve">на суму </w:t>
      </w:r>
      <w:r>
        <w:rPr>
          <w:rStyle w:val="C5"/>
          <w:sz w:val="28"/>
          <w:szCs w:val="28"/>
        </w:rPr>
        <w:t xml:space="preserve">120 000,00 грн з ПДВ, яка додатково включає в себе виїзне обслуговування на майданчику Замовника (далі – Цінова пропозиція). При цьому, за інформацією </w:t>
      </w:r>
      <w:r>
        <w:rPr>
          <w:sz w:val="28"/>
          <w:szCs w:val="28"/>
        </w:rPr>
        <w:t>ТОВ «</w:t>
      </w:r>
      <w:r>
        <w:rPr>
          <w:sz w:val="28"/>
          <w:szCs w:val="28"/>
          <w:lang/>
        </w:rPr>
        <w:t>САЙФЕР ПРО</w:t>
      </w:r>
      <w:r>
        <w:rPr>
          <w:sz w:val="28"/>
          <w:szCs w:val="28"/>
        </w:rPr>
        <w:t>» Цінова пропозиція є актуальною на даний час.</w:t>
      </w:r>
    </w:p>
    <w:p>
      <w:pPr>
        <w:pStyle w:val="P3"/>
        <w:spacing w:before="0" w:after="0"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/>
        </w:rPr>
        <w:t xml:space="preserve">Враховуючи </w:t>
      </w:r>
      <w:r>
        <w:rPr>
          <w:sz w:val="28"/>
          <w:szCs w:val="28"/>
        </w:rPr>
        <w:t xml:space="preserve">не можливість для розрахунку очікуваної вартості знайти потенційних учасників ринку, які надають аналогічні Послуги, вбачається, що </w:t>
        <w:br w:type="textWrapping"/>
        <w:t>ТОВ «</w:t>
      </w:r>
      <w:r>
        <w:rPr>
          <w:sz w:val="28"/>
          <w:szCs w:val="28"/>
          <w:lang/>
        </w:rPr>
        <w:t>САЙФЕР ПРО</w:t>
      </w:r>
      <w:r>
        <w:rPr>
          <w:sz w:val="28"/>
          <w:szCs w:val="28"/>
        </w:rPr>
        <w:t xml:space="preserve">» є єдиним постачальником даних Послуг, що надав комерційну пропозицію. </w:t>
      </w:r>
    </w:p>
    <w:p>
      <w:pPr>
        <w:pStyle w:val="P3"/>
        <w:spacing w:before="0" w:after="0" w:beforeAutospacing="0" w:afterAutospacing="0"/>
        <w:ind w:firstLine="709"/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>В той же час, для вивчення питання можливої наявності конкуренції на ринку даних Послуг, Управлінням прийнято рішення застосувати конкурентну процедуру закупівлі, а саме: відкриті торги.</w:t>
      </w:r>
    </w:p>
    <w:p>
      <w:pPr>
        <w:pStyle w:val="P3"/>
        <w:spacing w:before="0" w:after="0" w:beforeAutospacing="0" w:afterAutospacing="0"/>
        <w:ind w:firstLine="709"/>
        <w:jc w:val="both"/>
        <w:rPr>
          <w:sz w:val="28"/>
          <w:szCs w:val="28"/>
          <w:lang/>
        </w:rPr>
      </w:pPr>
      <w:r>
        <w:rPr>
          <w:sz w:val="28"/>
          <w:szCs w:val="28"/>
        </w:rPr>
        <w:t>Таким чином, з</w:t>
      </w:r>
      <w:r>
        <w:rPr>
          <w:sz w:val="28"/>
          <w:szCs w:val="28"/>
          <w:lang/>
        </w:rPr>
        <w:t xml:space="preserve"> урахуванням кошторисних призначень Казначейства</w:t>
        <w:br w:type="textWrapping"/>
        <w:t xml:space="preserve">на 2026 рік, </w:t>
      </w:r>
      <w:r>
        <w:rPr>
          <w:sz w:val="28"/>
          <w:szCs w:val="28"/>
        </w:rPr>
        <w:t>очікувана вартість предмета</w:t>
      </w:r>
      <w:r>
        <w:rPr>
          <w:color w:val="000000"/>
          <w:sz w:val="28"/>
          <w:szCs w:val="28"/>
        </w:rPr>
        <w:t xml:space="preserve"> «72250000-2 – Послуги, пов'язані із системами та підтримкою (Послуги по супроводженню та технічній підтримці мережного криптомодулю «Шифр-HSM»)»</w:t>
      </w:r>
      <w:r>
        <w:rPr>
          <w:sz w:val="28"/>
          <w:szCs w:val="28"/>
        </w:rPr>
        <w:t>,</w:t>
      </w:r>
      <w:r>
        <w:rPr>
          <w:b w:val="1"/>
          <w:bCs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становить </w:t>
      </w:r>
      <w:r>
        <w:rPr>
          <w:b w:val="1"/>
          <w:bCs w:val="1"/>
          <w:sz w:val="28"/>
          <w:szCs w:val="28"/>
        </w:rPr>
        <w:t xml:space="preserve">120 000,00 </w:t>
      </w:r>
      <w:r>
        <w:rPr>
          <w:b w:val="1"/>
          <w:bCs w:val="1"/>
          <w:sz w:val="28"/>
          <w:szCs w:val="28"/>
          <w:lang/>
        </w:rPr>
        <w:t>грн</w:t>
      </w:r>
      <w:r>
        <w:rPr>
          <w:sz w:val="28"/>
          <w:szCs w:val="28"/>
          <w:lang/>
        </w:rPr>
        <w:t>.</w:t>
      </w:r>
    </w:p>
    <w:p>
      <w:pPr>
        <w:pStyle w:val="P3"/>
        <w:spacing w:before="0" w:after="0" w:beforeAutospacing="0" w:afterAutospacing="0"/>
        <w:ind w:firstLine="709"/>
        <w:jc w:val="both"/>
      </w:pPr>
    </w:p>
    <w:sectPr>
      <w:type w:val="nextPage"/>
      <w:pgSz w:w="11906" w:h="16838" w:code="0"/>
      <w:pgMar w:left="1417" w:right="850" w:top="567" w:bottom="850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39FA68A2"/>
    <w:multiLevelType w:val="multilevel"/>
    <w:lvl w:ilvl="0">
      <w:start w:val="1"/>
      <w:numFmt w:val="decimal"/>
      <w:suff w:val="tab"/>
      <w:lvlText w:val="%1."/>
      <w:lvlJc w:val="left"/>
      <w:pPr>
        <w:ind w:hanging="360" w:left="1070"/>
      </w:pPr>
      <w:rPr>
        <w:b w:val="1"/>
        <w:bCs w:val="1"/>
        <w:color w:val="000000"/>
      </w:rPr>
    </w:lvl>
    <w:lvl w:ilvl="1">
      <w:start w:val="1"/>
      <w:numFmt w:val="lowerLetter"/>
      <w:suff w:val="tab"/>
      <w:lvlText w:val="%2."/>
      <w:lvlJc w:val="left"/>
      <w:pPr>
        <w:ind w:hanging="360" w:left="2007"/>
      </w:pPr>
      <w:rPr/>
    </w:lvl>
    <w:lvl w:ilvl="2">
      <w:start w:val="1"/>
      <w:numFmt w:val="lowerRoman"/>
      <w:suff w:val="tab"/>
      <w:lvlText w:val="%3."/>
      <w:lvlJc w:val="right"/>
      <w:pPr>
        <w:ind w:hanging="180" w:left="2727"/>
      </w:pPr>
      <w:rPr/>
    </w:lvl>
    <w:lvl w:ilvl="3">
      <w:start w:val="1"/>
      <w:numFmt w:val="decimal"/>
      <w:suff w:val="tab"/>
      <w:lvlText w:val="%4."/>
      <w:lvlJc w:val="left"/>
      <w:pPr>
        <w:ind w:hanging="360" w:left="3447"/>
      </w:pPr>
      <w:rPr/>
    </w:lvl>
    <w:lvl w:ilvl="4">
      <w:start w:val="1"/>
      <w:numFmt w:val="lowerLetter"/>
      <w:suff w:val="tab"/>
      <w:lvlText w:val="%5."/>
      <w:lvlJc w:val="left"/>
      <w:pPr>
        <w:ind w:hanging="360" w:left="4167"/>
      </w:pPr>
      <w:rPr/>
    </w:lvl>
    <w:lvl w:ilvl="5">
      <w:start w:val="1"/>
      <w:numFmt w:val="lowerRoman"/>
      <w:suff w:val="tab"/>
      <w:lvlText w:val="%6."/>
      <w:lvlJc w:val="right"/>
      <w:pPr>
        <w:ind w:hanging="180" w:left="4887"/>
      </w:pPr>
      <w:rPr/>
    </w:lvl>
    <w:lvl w:ilvl="6">
      <w:start w:val="1"/>
      <w:numFmt w:val="decimal"/>
      <w:suff w:val="tab"/>
      <w:lvlText w:val="%7."/>
      <w:lvlJc w:val="left"/>
      <w:pPr>
        <w:ind w:hanging="360" w:left="5607"/>
      </w:pPr>
      <w:rPr/>
    </w:lvl>
    <w:lvl w:ilvl="7">
      <w:start w:val="1"/>
      <w:numFmt w:val="lowerLetter"/>
      <w:suff w:val="tab"/>
      <w:lvlText w:val="%8."/>
      <w:lvlJc w:val="left"/>
      <w:pPr>
        <w:ind w:hanging="360" w:left="6327"/>
      </w:pPr>
      <w:rPr/>
    </w:lvl>
    <w:lvl w:ilvl="8">
      <w:start w:val="1"/>
      <w:numFmt w:val="lowerRoman"/>
      <w:suff w:val="tab"/>
      <w:lvlText w:val="%9."/>
      <w:lvlJc w:val="right"/>
      <w:pPr>
        <w:ind w:hanging="180" w:left="7047"/>
      </w:pPr>
      <w:rPr/>
    </w:lvl>
  </w:abstractNum>
  <w:abstractNum w:abstractNumId="1">
    <w:nsid w:val="7EEA2087"/>
    <w:multiLevelType w:val="hybridMultilevel"/>
    <w:lvl w:ilvl="0" w:tplc="01642EF8">
      <w:start w:val="0"/>
      <w:numFmt w:val="bullet"/>
      <w:suff w:val="tab"/>
      <w:lvlText w:val="-"/>
      <w:lvlJc w:val="left"/>
      <w:pPr>
        <w:ind w:hanging="360" w:left="1069"/>
      </w:pPr>
      <w:rPr>
        <w:rFonts w:ascii="Times New Roman" w:hAnsi="Times New Roman"/>
      </w:rPr>
    </w:lvl>
    <w:lvl w:ilvl="1" w:tplc="686E0290">
      <w:start w:val="1"/>
      <w:numFmt w:val="bullet"/>
      <w:suff w:val="tab"/>
      <w:lvlText w:val="o"/>
      <w:lvlJc w:val="left"/>
      <w:pPr>
        <w:ind w:hanging="360" w:left="1789"/>
      </w:pPr>
      <w:rPr>
        <w:rFonts w:ascii="Courier New" w:hAnsi="Courier New"/>
      </w:rPr>
    </w:lvl>
    <w:lvl w:ilvl="2" w:tplc="7B8F7388">
      <w:start w:val="1"/>
      <w:numFmt w:val="bullet"/>
      <w:suff w:val="tab"/>
      <w:lvlText w:val=""/>
      <w:lvlJc w:val="left"/>
      <w:pPr>
        <w:ind w:hanging="360" w:left="2509"/>
      </w:pPr>
      <w:rPr>
        <w:rFonts w:ascii="Wingdings" w:hAnsi="Wingdings"/>
      </w:rPr>
    </w:lvl>
    <w:lvl w:ilvl="3" w:tplc="4928745A">
      <w:start w:val="1"/>
      <w:numFmt w:val="bullet"/>
      <w:suff w:val="tab"/>
      <w:lvlText w:val=""/>
      <w:lvlJc w:val="left"/>
      <w:pPr>
        <w:ind w:hanging="360" w:left="3229"/>
      </w:pPr>
      <w:rPr>
        <w:rFonts w:ascii="Symbol" w:hAnsi="Symbol"/>
      </w:rPr>
    </w:lvl>
    <w:lvl w:ilvl="4" w:tplc="43880D98">
      <w:start w:val="1"/>
      <w:numFmt w:val="bullet"/>
      <w:suff w:val="tab"/>
      <w:lvlText w:val="o"/>
      <w:lvlJc w:val="left"/>
      <w:pPr>
        <w:ind w:hanging="360" w:left="3949"/>
      </w:pPr>
      <w:rPr>
        <w:rFonts w:ascii="Courier New" w:hAnsi="Courier New"/>
      </w:rPr>
    </w:lvl>
    <w:lvl w:ilvl="5" w:tplc="471528D4">
      <w:start w:val="1"/>
      <w:numFmt w:val="bullet"/>
      <w:suff w:val="tab"/>
      <w:lvlText w:val=""/>
      <w:lvlJc w:val="left"/>
      <w:pPr>
        <w:ind w:hanging="360" w:left="4669"/>
      </w:pPr>
      <w:rPr>
        <w:rFonts w:ascii="Wingdings" w:hAnsi="Wingdings"/>
      </w:rPr>
    </w:lvl>
    <w:lvl w:ilvl="6" w:tplc="57C1C792">
      <w:start w:val="1"/>
      <w:numFmt w:val="bullet"/>
      <w:suff w:val="tab"/>
      <w:lvlText w:val=""/>
      <w:lvlJc w:val="left"/>
      <w:pPr>
        <w:ind w:hanging="360" w:left="5389"/>
      </w:pPr>
      <w:rPr>
        <w:rFonts w:ascii="Symbol" w:hAnsi="Symbol"/>
      </w:rPr>
    </w:lvl>
    <w:lvl w:ilvl="7" w:tplc="08271D5D">
      <w:start w:val="1"/>
      <w:numFmt w:val="bullet"/>
      <w:suff w:val="tab"/>
      <w:lvlText w:val="o"/>
      <w:lvlJc w:val="left"/>
      <w:pPr>
        <w:ind w:hanging="360" w:left="6109"/>
      </w:pPr>
      <w:rPr>
        <w:rFonts w:ascii="Courier New" w:hAnsi="Courier New"/>
      </w:rPr>
    </w:lvl>
    <w:lvl w:ilvl="8" w:tplc="58284B05">
      <w:start w:val="1"/>
      <w:numFmt w:val="bullet"/>
      <w:suff w:val="tab"/>
      <w:lvlText w:val=""/>
      <w:lvlJc w:val="left"/>
      <w:pPr>
        <w:ind w:hanging="360" w:left="6829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>
  <w:displayBackgroundShape w:val="0"/>
  <w:doNotTrackMoves/>
  <w:defaultTabStop w:val="708"/>
  <w:autoHyphenation w:val="0"/>
  <w:hyphenationZone w:val="425"/>
  <w:evenAndOddHeaders w:val="0"/>
  <w:characterSpacingControl w:val="compressPunctuation"/>
  <w:compat>
    <w:splitPgBreakAndParaMark/>
    <w:doNotBreakConstrainedForcedTable/>
    <w:doNotVertAlignCellWithSp/>
    <w:useFELayout/>
    <w:compatSetting w:name="compatibilityMode" w:uri="http://schemas.microsoft.com/office/word" w:val="1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0"/>
        <w:szCs w:val="20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next w:val="P0"/>
    <w:qFormat/>
    <w:pPr>
      <w:spacing w:lineRule="auto" w:line="276" w:after="200"/>
    </w:pPr>
    <w:rPr>
      <w:sz w:val="22"/>
      <w:szCs w:val="22"/>
      <w:lang w:val="uk-UA"/>
    </w:rPr>
  </w:style>
  <w:style w:type="paragraph" w:styleId="P1">
    <w:name w:val="No Spacing"/>
    <w:next w:val="P1"/>
    <w:qFormat/>
    <w:pPr/>
    <w:rPr>
      <w:sz w:val="22"/>
      <w:szCs w:val="22"/>
      <w:lang w:val="ru-RU"/>
    </w:rPr>
  </w:style>
  <w:style w:type="paragraph" w:styleId="P2">
    <w:name w:val="List Paragraph"/>
    <w:basedOn w:val="P0"/>
    <w:next w:val="P2"/>
    <w:link w:val="C3"/>
    <w:qFormat/>
    <w:pPr>
      <w:ind w:left="720"/>
      <w:contextualSpacing w:val="1"/>
    </w:pPr>
    <w:rPr>
      <w:sz w:val="20"/>
      <w:szCs w:val="20"/>
      <w:lang/>
    </w:rPr>
  </w:style>
  <w:style w:type="paragraph" w:styleId="P3">
    <w:name w:val="a"/>
    <w:basedOn w:val="P0"/>
    <w:next w:val="P3"/>
    <w:pPr>
      <w:spacing w:lineRule="auto" w:line="240" w:before="100" w:after="100" w:beforeAutospacing="1" w:afterAutospacing="1"/>
    </w:pPr>
    <w:rPr>
      <w:rFonts w:ascii="Times New Roman" w:hAnsi="Times New Roman"/>
      <w:sz w:val="24"/>
      <w:szCs w:val="24"/>
      <w:lang/>
    </w:rPr>
  </w:style>
  <w:style w:type="paragraph" w:styleId="P4">
    <w:name w:val="rvps2"/>
    <w:basedOn w:val="P0"/>
    <w:next w:val="P4"/>
    <w:pPr>
      <w:spacing w:lineRule="auto" w:line="240" w:before="100" w:after="100" w:beforeAutospacing="1" w:afterAutospacing="1"/>
    </w:pPr>
    <w:rPr>
      <w:rFonts w:ascii="Times New Roman" w:hAnsi="Times New Roman"/>
      <w:sz w:val="24"/>
      <w:szCs w:val="24"/>
      <w:lang/>
    </w:rPr>
  </w:style>
  <w:style w:type="paragraph" w:styleId="P5">
    <w:name w:val="Основной текст1"/>
    <w:basedOn w:val="P0"/>
    <w:next w:val="P5"/>
    <w:link w:val="C4"/>
    <w:pPr>
      <w:widowControl w:val="0"/>
      <w:shd w:val="clear" w:fill="FFFFFF"/>
      <w:spacing w:lineRule="atLeast" w:line="0" w:before="360" w:after="360"/>
    </w:pPr>
    <w:rPr>
      <w:sz w:val="20"/>
      <w:szCs w:val="20"/>
      <w:lang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563C1"/>
      <w:u w:val="single"/>
    </w:rPr>
  </w:style>
  <w:style w:type="character" w:styleId="C3">
    <w:name w:val="Абзац списку Знак"/>
    <w:link w:val="P2"/>
    <w:rPr>
      <w:rFonts w:ascii="Calibri" w:hAnsi="Calibri"/>
    </w:rPr>
  </w:style>
  <w:style w:type="character" w:styleId="C4">
    <w:name w:val="Основной текст_"/>
    <w:link w:val="P5"/>
    <w:rPr>
      <w:shd w:val="clear" w:color="auto" w:fill="FFFFFF"/>
    </w:rPr>
  </w:style>
  <w:style w:type="character" w:styleId="C5">
    <w:name w:val="Body text (2)2"/>
    <w:rPr>
      <w:rFonts w:ascii="Times New Roman" w:hAnsi="Times New Roman"/>
      <w:color w:val="000000"/>
      <w:sz w:val="19"/>
      <w:szCs w:val="19"/>
      <w:shd w:val="clear" w:color="auto" w:fill="FFFFFF"/>
      <w:spacing w:val="0"/>
      <w:w w:val="100"/>
      <w:position w:val="0"/>
      <w:lang w:val="ru-RU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Relationship Id="RelItem1" Type="http://schemas.openxmlformats.org/officeDocument/2006/relationships/customXml" Target="../customXml/item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a530e4-809e-40f8-8121-03f116b98f97}">
  <ds:schemaRefs>
    <ds:schemaRef ds:uri="http://schemas.microsoft.com/vsto/samples"/>
  </ds:schemaRefs>
</ds:datastoreItem>
</file>

<file path=docProps/app.xml><?xml version="1.0" encoding="utf-8"?>
<Properties xmlns="http://schemas.openxmlformats.org/officeDocument/2006/extended-properties">
  <Application>DevExpress Office File API/24.2.6.0</Application>
  <AppVersion>24.2</AppVersion>
  <Template>Normal.dotm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2800-shvetss</dc:creator>
  <dcterms:created xsi:type="dcterms:W3CDTF">2026-01-28T07:54:00Z</dcterms:created>
  <cp:lastModifiedBy>2800-askod</cp:lastModifiedBy>
  <cp:lastPrinted>2020-12-28T08:57:00Z</cp:lastPrinted>
  <dcterms:modified xsi:type="dcterms:W3CDTF">2026-02-24T13:25:26Z</dcterms:modified>
  <cp:revision>11</cp:revision>
</cp:coreProperties>
</file>