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3E0FD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0529126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7E7940D3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Обґрунтування технічних та якісних характеристик предмета закупівлі, розміру призначення, очікуваної вартості предмета закупівлі</w:t>
      </w:r>
    </w:p>
    <w:p w14:paraId="51E2B581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(відповідно до пункту 4 постанови КМУ від 11.10.2016 року №710                                                                                        «Про ефективне використання державних коштів» (зі змінами))</w:t>
      </w:r>
    </w:p>
    <w:p w14:paraId="269776D5">
      <w:pPr>
        <w:pStyle w:val="5"/>
        <w:numPr>
          <w:ilvl w:val="0"/>
          <w:numId w:val="1"/>
        </w:numPr>
        <w:tabs>
          <w:tab w:val="left" w:pos="260"/>
        </w:tabs>
        <w:jc w:val="both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>
        <w:rPr>
          <w:rFonts w:ascii="Times New Roman" w:hAnsi="Times New Roman" w:cs="Times New Roman"/>
          <w:u w:val="single"/>
          <w:lang w:val="uk-UA"/>
        </w:rPr>
        <w:t>Управління Державної казначейської служби України у м.Одесі Одеської області;</w:t>
      </w:r>
    </w:p>
    <w:p w14:paraId="1AC9376E">
      <w:pPr>
        <w:pStyle w:val="5"/>
        <w:tabs>
          <w:tab w:val="left" w:pos="260"/>
        </w:tabs>
        <w:ind w:left="615"/>
        <w:jc w:val="both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b/>
          <w:lang w:val="uk-UA"/>
        </w:rPr>
        <w:t>Місцезнаходження замовника:</w:t>
      </w:r>
      <w:r>
        <w:rPr>
          <w:rFonts w:ascii="Times New Roman" w:hAnsi="Times New Roman" w:cs="Times New Roman"/>
          <w:lang w:val="uk-UA"/>
        </w:rPr>
        <w:t xml:space="preserve"> 65009, м.Одеса, вул. Артура Савельєва, 6; ідентифікаційний код замовника:</w:t>
      </w:r>
      <w:r>
        <w:rPr>
          <w:rFonts w:ascii="Times New Roman" w:hAnsi="Times New Roman" w:cs="Times New Roman"/>
          <w:u w:val="single"/>
          <w:lang w:val="uk-UA"/>
        </w:rPr>
        <w:t xml:space="preserve"> Код за ЄДРПОУ 38016923.</w:t>
      </w:r>
    </w:p>
    <w:p w14:paraId="6922A00B">
      <w:pPr>
        <w:pStyle w:val="5"/>
        <w:tabs>
          <w:tab w:val="left" w:pos="260"/>
        </w:tabs>
        <w:ind w:left="615"/>
        <w:jc w:val="both"/>
        <w:rPr>
          <w:rFonts w:ascii="Times New Roman" w:hAnsi="Times New Roman" w:cs="Times New Roman"/>
          <w:u w:val="single"/>
          <w:lang w:val="uk-UA"/>
        </w:rPr>
      </w:pPr>
    </w:p>
    <w:p w14:paraId="7C60D7A0">
      <w:pPr>
        <w:pStyle w:val="5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/>
        <w:jc w:val="both"/>
        <w:outlineLvl w:val="2"/>
        <w:rPr>
          <w:rFonts w:ascii="Times New Roman" w:hAnsi="Times New Roman"/>
          <w:i/>
          <w:color w:val="000000"/>
          <w:lang w:val="uk-UA"/>
        </w:rPr>
      </w:pPr>
      <w:r>
        <w:rPr>
          <w:rFonts w:ascii="Times New Roman" w:hAnsi="Times New Roman" w:cs="Times New Roman"/>
          <w:b/>
          <w:lang w:val="uk-UA"/>
        </w:rPr>
        <w:t>Назва предмета закупівлі із зазначенням коду за Єдиним закупівельним словником ( у разі поділу на лоти такі відомості повинні зазначатися стосовно кожного лота) та назви відповідних класифікаторів предмета закупівлі  (лотів) (за наявності</w:t>
      </w:r>
      <w:r>
        <w:rPr>
          <w:rFonts w:ascii="Times New Roman" w:hAnsi="Times New Roman" w:cs="Times New Roman"/>
          <w:lang w:val="uk-UA"/>
        </w:rPr>
        <w:t xml:space="preserve">): </w:t>
      </w:r>
      <w:r>
        <w:rPr>
          <w:rFonts w:ascii="Times New Roman" w:hAnsi="Times New Roman"/>
          <w:bCs/>
          <w:i/>
        </w:rPr>
        <w:t xml:space="preserve">Персональні комп’ютери </w:t>
      </w:r>
      <w:r>
        <w:rPr>
          <w:rFonts w:ascii="Times New Roman" w:hAnsi="Times New Roman"/>
          <w:bCs/>
          <w:i/>
          <w:lang w:val="uk-UA"/>
        </w:rPr>
        <w:t>в комплекті (</w:t>
      </w:r>
      <w:r>
        <w:rPr>
          <w:rFonts w:ascii="Times New Roman" w:hAnsi="Times New Roman"/>
          <w:bCs/>
          <w:i/>
        </w:rPr>
        <w:t>системний блок, монітор, клавіатура та миша</w:t>
      </w:r>
      <w:r>
        <w:rPr>
          <w:rFonts w:ascii="Times New Roman" w:hAnsi="Times New Roman"/>
          <w:bCs/>
          <w:i/>
          <w:lang w:val="uk-UA"/>
        </w:rPr>
        <w:t>)</w:t>
      </w:r>
      <w:r>
        <w:rPr>
          <w:rFonts w:ascii="Times New Roman" w:hAnsi="Times New Roman"/>
          <w:b/>
          <w:bCs/>
          <w:i/>
          <w:lang w:val="uk-UA"/>
        </w:rPr>
        <w:t xml:space="preserve"> </w:t>
      </w:r>
      <w:r>
        <w:rPr>
          <w:rFonts w:ascii="Times New Roman" w:hAnsi="Times New Roman"/>
          <w:i/>
          <w:color w:val="000000"/>
          <w:lang w:val="uk-UA"/>
        </w:rPr>
        <w:t xml:space="preserve"> </w:t>
      </w:r>
      <w:r>
        <w:rPr>
          <w:rFonts w:ascii="Times New Roman" w:hAnsi="Times New Roman"/>
          <w:bCs/>
          <w:i/>
          <w:lang w:eastAsia="ru-RU"/>
        </w:rPr>
        <w:t xml:space="preserve">(код за ДК 021:2015 </w:t>
      </w:r>
      <w:r>
        <w:rPr>
          <w:rFonts w:ascii="Times New Roman" w:hAnsi="Times New Roman"/>
          <w:bCs/>
          <w:i/>
        </w:rPr>
        <w:t>30210000-4 «Машини для обробки даних (апаратна частина)</w:t>
      </w:r>
      <w:r>
        <w:rPr>
          <w:rFonts w:ascii="Times New Roman" w:hAnsi="Times New Roman"/>
          <w:bCs/>
          <w:i/>
          <w:lang w:eastAsia="ru-RU"/>
        </w:rPr>
        <w:t>»</w:t>
      </w:r>
      <w:r>
        <w:rPr>
          <w:rFonts w:ascii="Times New Roman" w:hAnsi="Times New Roman"/>
          <w:i/>
          <w:color w:val="000000"/>
          <w:lang w:val="uk-UA"/>
        </w:rPr>
        <w:t xml:space="preserve"> </w:t>
      </w:r>
      <w:r>
        <w:rPr>
          <w:rFonts w:ascii="Times New Roman" w:hAnsi="Times New Roman"/>
          <w:bCs/>
          <w:i/>
        </w:rPr>
        <w:t>(відповідний код - 30213000-5 «Персональні комп’ютери»)).</w:t>
      </w:r>
    </w:p>
    <w:p w14:paraId="1CA11C21">
      <w:pPr>
        <w:pStyle w:val="5"/>
        <w:tabs>
          <w:tab w:val="left" w:pos="0"/>
          <w:tab w:val="left" w:pos="426"/>
        </w:tabs>
        <w:suppressAutoHyphens/>
        <w:spacing w:after="0"/>
        <w:ind w:left="615"/>
        <w:jc w:val="both"/>
        <w:outlineLvl w:val="2"/>
        <w:rPr>
          <w:rFonts w:ascii="Times New Roman" w:hAnsi="Times New Roman"/>
          <w:i/>
          <w:color w:val="000000"/>
          <w:lang w:val="uk-UA"/>
        </w:rPr>
      </w:pPr>
    </w:p>
    <w:p w14:paraId="4167769C">
      <w:pPr>
        <w:pStyle w:val="5"/>
        <w:numPr>
          <w:ilvl w:val="0"/>
          <w:numId w:val="1"/>
        </w:numPr>
        <w:tabs>
          <w:tab w:val="left" w:pos="260"/>
        </w:tabs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Ідентифікатор закупівлі: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UA-</w:t>
      </w:r>
      <w:r>
        <w:rPr>
          <w:rFonts w:ascii="Times New Roman" w:hAnsi="Times New Roman" w:cs="Times New Roman"/>
          <w:lang w:val="uk-UA"/>
        </w:rPr>
        <w:t>2025-05-29-009107а</w:t>
      </w:r>
    </w:p>
    <w:p w14:paraId="1C35BAAB">
      <w:pPr>
        <w:pStyle w:val="8"/>
        <w:numPr>
          <w:ilvl w:val="0"/>
          <w:numId w:val="1"/>
        </w:numPr>
        <w:shd w:val="clear" w:color="auto" w:fill="auto"/>
        <w:rPr>
          <w:rFonts w:ascii="Times New Roman" w:hAnsi="Times New Roman" w:cs="Times New Roman"/>
          <w:sz w:val="22"/>
          <w:lang w:val="uk-UA"/>
        </w:rPr>
      </w:pPr>
      <w:r>
        <w:rPr>
          <w:rFonts w:ascii="Times New Roman" w:hAnsi="Times New Roman" w:cs="Times New Roman"/>
          <w:b/>
          <w:sz w:val="22"/>
          <w:lang w:val="uk-UA"/>
        </w:rPr>
        <w:t>Обґрунтування технічних та якісних характеристик предмета закупівлі</w:t>
      </w:r>
      <w:r>
        <w:rPr>
          <w:rFonts w:ascii="Times New Roman" w:hAnsi="Times New Roman" w:cs="Times New Roman"/>
          <w:sz w:val="22"/>
          <w:lang w:val="uk-UA"/>
        </w:rPr>
        <w:t xml:space="preserve">: </w:t>
      </w:r>
    </w:p>
    <w:p w14:paraId="2FDA53BF">
      <w:pPr>
        <w:pStyle w:val="8"/>
        <w:numPr>
          <w:ilvl w:val="0"/>
          <w:numId w:val="1"/>
        </w:numPr>
        <w:shd w:val="clear" w:color="auto" w:fill="auto"/>
        <w:rPr>
          <w:rStyle w:val="9"/>
          <w:rFonts w:ascii="Times New Roman" w:hAnsi="Times New Roman" w:cs="Arial Narrow"/>
          <w:bCs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u w:val="single"/>
          <w:lang w:val="uk-UA"/>
        </w:rPr>
        <w:t xml:space="preserve">Персональні комп’ютери в комплекті (системний блок, монітор, клавіатура та миша) </w:t>
      </w:r>
      <w:r>
        <w:rPr>
          <w:rStyle w:val="9"/>
          <w:rFonts w:ascii="Times New Roman" w:hAnsi="Times New Roman" w:cs="Arial Narrow"/>
          <w:bCs/>
          <w:sz w:val="24"/>
          <w:szCs w:val="24"/>
        </w:rPr>
        <w:t>у кількості</w:t>
      </w:r>
      <w:r>
        <w:rPr>
          <w:rStyle w:val="9"/>
          <w:rFonts w:ascii="Times New Roman" w:hAnsi="Times New Roman" w:cs="Arial Narrow"/>
          <w:bCs/>
          <w:sz w:val="24"/>
          <w:szCs w:val="24"/>
          <w:lang w:val="ru-RU"/>
        </w:rPr>
        <w:t xml:space="preserve"> </w:t>
      </w:r>
      <w:r>
        <w:rPr>
          <w:rStyle w:val="9"/>
          <w:rFonts w:ascii="Times New Roman" w:hAnsi="Times New Roman" w:cs="Arial Narrow"/>
          <w:bCs/>
          <w:sz w:val="24"/>
          <w:szCs w:val="24"/>
        </w:rPr>
        <w:t>7шт.</w:t>
      </w:r>
    </w:p>
    <w:p w14:paraId="79A5E711">
      <w:pPr>
        <w:pStyle w:val="8"/>
        <w:shd w:val="clear" w:color="auto" w:fill="auto"/>
        <w:rPr>
          <w:rStyle w:val="9"/>
          <w:rFonts w:ascii="Times New Roman" w:hAnsi="Times New Roman" w:cs="Arial Narrow"/>
          <w:bCs/>
          <w:sz w:val="22"/>
        </w:rPr>
      </w:pPr>
      <w:r>
        <w:rPr>
          <w:rStyle w:val="9"/>
          <w:rFonts w:ascii="Times New Roman" w:hAnsi="Times New Roman" w:cs="Arial Narrow"/>
          <w:bCs/>
          <w:sz w:val="22"/>
        </w:rPr>
        <w:tab/>
      </w:r>
    </w:p>
    <w:p w14:paraId="434009C9">
      <w:pPr>
        <w:pStyle w:val="8"/>
        <w:shd w:val="clear" w:color="auto" w:fill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9"/>
          <w:rFonts w:ascii="Times New Roman" w:hAnsi="Times New Roman" w:cs="Arial Narrow"/>
          <w:bCs/>
          <w:sz w:val="22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Доцільність закупівлі обумовлена необхідністю виконання покладених на Управління державної казначейської служби України у м.Одесі Одеської області  (далі – управління Казначейства) завдань по реалізації Міської цільової програми Забезпечення діяльності органів самоорганізації населення в м.Одесі, взаємодії та підтримки діяльності органів виконавчої влади в умовах правового режиму воєнного стану на 2020-2025 роки, за напрямком «Підтримка діяльності структурних підрозділів центральних органів виконавчої влади в Україні і органів місцевого самоврядування , що представляють спільні інтереси Одеської міської територіальної громади» затвердженої рішенням Одеської міської ради від 05.02.2025 року №2800-VIII «Про внесення змін до рішення Одеської міської ради від 04 грудня 2024 року №2578—VIII «Про бюджет Одеської міської територіальної громади на 2025 рік».</w:t>
      </w:r>
    </w:p>
    <w:p w14:paraId="7036F29A">
      <w:pPr>
        <w:pStyle w:val="8"/>
        <w:shd w:val="clear" w:color="auto" w:fill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виконання наказу ДКСУ від 23.03.2025 року № 60 «Про затвердження рекомендацій щодо технічних характеристик робочих станцій та переліку базового програмного забезпечення» було проведено аналіз технічної складової парку комп’ютерної техніки який використовується в управлінні Казначейства. В результаті встановлено, що 7 одиниць комп’ютерної техніки за більшістю параметрів  не відповідають рекомендованим технологічним характеристикам та не мають запасу продуктивності для забезпечення належної роботи програмного забезпечення або оновлення на нові версії. З метою забезпечення адміністрування, підтримки та розширення ІТ інфраструктури в управлінні Казначейства виникла необхідність придбати 7 персональних комп’ютерів сучасного зразка (з запасом продуктивності для забезпечення належної роботи програмного забезпечення або оновленням на нові версії).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56D4107">
      <w:pPr>
        <w:pStyle w:val="8"/>
        <w:shd w:val="clear" w:color="auto" w:fill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2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предмету закупівлі визначні з метою закупівлі сучасної обчислювальної техніки з урахуванням загальноприйнятих норм і стандартів для зазначеного обладнання, в межах кошторисних призначень.</w:t>
      </w:r>
    </w:p>
    <w:p w14:paraId="6ACCD4DD">
      <w:pPr>
        <w:pStyle w:val="8"/>
        <w:shd w:val="clear" w:color="auto" w:fill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CBC987B">
      <w:pPr>
        <w:pStyle w:val="8"/>
        <w:shd w:val="clear" w:color="auto" w:fill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072BDAB">
      <w:pPr>
        <w:pStyle w:val="8"/>
        <w:shd w:val="clear" w:color="auto" w:fill="auto"/>
        <w:rPr>
          <w:rFonts w:ascii="Times New Roman" w:hAnsi="Times New Roman" w:cs="Times New Roman"/>
          <w:sz w:val="22"/>
          <w:lang w:val="uk-UA"/>
        </w:rPr>
      </w:pPr>
    </w:p>
    <w:p w14:paraId="3E05B532">
      <w:pPr>
        <w:pStyle w:val="8"/>
        <w:shd w:val="clear" w:color="auto" w:fill="auto"/>
        <w:rPr>
          <w:rFonts w:ascii="Times New Roman" w:hAnsi="Times New Roman" w:cs="Times New Roman"/>
          <w:sz w:val="22"/>
          <w:lang w:val="uk-UA"/>
        </w:rPr>
      </w:pPr>
    </w:p>
    <w:p w14:paraId="78B1817A">
      <w:pPr>
        <w:pStyle w:val="8"/>
        <w:shd w:val="clear" w:color="auto" w:fill="auto"/>
        <w:rPr>
          <w:rFonts w:ascii="Times New Roman" w:hAnsi="Times New Roman" w:cs="Times New Roman"/>
          <w:sz w:val="22"/>
          <w:lang w:val="uk-UA"/>
        </w:rPr>
      </w:pPr>
    </w:p>
    <w:p w14:paraId="3A90F24F">
      <w:pPr>
        <w:pStyle w:val="8"/>
        <w:shd w:val="clear" w:color="auto" w:fill="auto"/>
        <w:rPr>
          <w:rFonts w:ascii="Times New Roman" w:hAnsi="Times New Roman" w:cs="Times New Roman"/>
          <w:sz w:val="22"/>
          <w:lang w:val="uk-UA"/>
        </w:rPr>
      </w:pPr>
    </w:p>
    <w:p w14:paraId="3F5E57F4">
      <w:pPr>
        <w:pStyle w:val="8"/>
        <w:shd w:val="clear" w:color="auto" w:fill="auto"/>
        <w:rPr>
          <w:rFonts w:ascii="Times New Roman" w:hAnsi="Times New Roman" w:cs="Times New Roman"/>
          <w:sz w:val="22"/>
          <w:lang w:val="uk-UA"/>
        </w:rPr>
      </w:pPr>
    </w:p>
    <w:p w14:paraId="339FAF41">
      <w:pPr>
        <w:pStyle w:val="8"/>
        <w:numPr>
          <w:ilvl w:val="0"/>
          <w:numId w:val="1"/>
        </w:numPr>
        <w:shd w:val="clear" w:color="auto" w:fill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розміру кошторисного призначення :</w:t>
      </w:r>
    </w:p>
    <w:p w14:paraId="41522DBE">
      <w:pPr>
        <w:pStyle w:val="8"/>
        <w:shd w:val="clear" w:color="auto" w:fill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Розмір бюджетного призначення визначений у розмірі 161 000,00 грн. відповідно до довідки про зміни до кошторису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рік № 1 від 20 березня 2025 року за КПКВ 3504010 «Керівництво та управління у сфері казначейського обслуговування», а саме за КЕКВ 3110 «Придбання обладнання і предметів довгострокового користування».</w:t>
      </w:r>
    </w:p>
    <w:p w14:paraId="62AAA521">
      <w:pPr>
        <w:pStyle w:val="8"/>
        <w:shd w:val="clear" w:color="auto" w:fill="auto"/>
        <w:rPr>
          <w:rFonts w:ascii="Times New Roman" w:hAnsi="Times New Roman" w:cs="Times New Roman"/>
          <w:sz w:val="22"/>
          <w:lang w:val="uk-UA"/>
        </w:rPr>
      </w:pPr>
    </w:p>
    <w:p w14:paraId="25B0AF77">
      <w:pPr>
        <w:pStyle w:val="8"/>
        <w:shd w:val="clear" w:color="auto" w:fill="auto"/>
        <w:rPr>
          <w:rFonts w:ascii="Times New Roman" w:hAnsi="Times New Roman" w:cs="Times New Roman"/>
          <w:sz w:val="22"/>
          <w:lang w:val="uk-UA"/>
        </w:rPr>
      </w:pPr>
    </w:p>
    <w:p w14:paraId="7A25D27B">
      <w:pPr>
        <w:pStyle w:val="8"/>
        <w:numPr>
          <w:ilvl w:val="0"/>
          <w:numId w:val="1"/>
        </w:numPr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  <w:r>
        <w:rPr>
          <w:rFonts w:ascii="Times New Roman" w:hAnsi="Times New Roman" w:cs="Times New Roman"/>
          <w:b/>
          <w:sz w:val="22"/>
          <w:lang w:val="uk-UA"/>
        </w:rPr>
        <w:t xml:space="preserve">Обґрунтування очікуваної вартості предмета закупівлі:  </w:t>
      </w:r>
    </w:p>
    <w:p w14:paraId="1AEB76AE">
      <w:pPr>
        <w:pStyle w:val="8"/>
        <w:shd w:val="clear" w:color="auto" w:fill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Очікувана вартість предмета закупівлі становить 161 000,00 грн. з ПДВ, визначена відповідно до бюджетного призначення з урахуванням граничних сум витрат, затверджених Постановою КМУ «Про граничні суми витрат на придбання автомобілів, меблів, іншого обладнання та устаткування, мобільних телефонів, комп’ютерів державними органами, а також установами та організаціями, які утримуються за рахунок державного бюджету» від 04.04.2001 року № 332. Розрахунок очікуваної вартості персональних комп’ютерів проведено відповідно до наказу УДКСУ у м.Одесі Одеської області від 13 лютого 2025 року №12-о «Про затвердження методики визначення очікуваної вартості предмета закупівлі під час здійснення публічних закупівель» методом порівняння ринкових цін, а саме, на сайтах конкретних учасників ринку здійснено пошук, аналіз та відбір представлених на ринку персональних комп’ютерів з технічною характеристикою не нижче, ніж затверджено наказом ДКСУ від 23.03.2025 року № 60 «Про затвердження рекомендацій щодо технічних характеристик робочих станцій та переліку базового програмного забезпечення»  </w:t>
      </w:r>
    </w:p>
    <w:p w14:paraId="28B24E62">
      <w:pPr>
        <w:pStyle w:val="8"/>
        <w:shd w:val="clear" w:color="auto" w:fill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 аналізі ринку комп’ютерної техніки було розглянуто пропозиції які розміщенні на торгівельному майданчику  </w:t>
      </w:r>
      <w:r>
        <w:rPr>
          <w:rFonts w:ascii="Times New Roman" w:hAnsi="Times New Roman" w:cs="Times New Roman"/>
          <w:sz w:val="24"/>
          <w:szCs w:val="24"/>
          <w:lang w:val="en-US"/>
        </w:rPr>
        <w:t>ROZETKA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інтернет магазині </w:t>
      </w:r>
      <w:r>
        <w:rPr>
          <w:rFonts w:ascii="Times New Roman" w:hAnsi="Times New Roman" w:cs="Times New Roman"/>
          <w:sz w:val="24"/>
          <w:szCs w:val="24"/>
          <w:lang w:val="en-US"/>
        </w:rPr>
        <w:t>bighouse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інтернет магазині </w:t>
      </w:r>
      <w:r>
        <w:rPr>
          <w:rFonts w:ascii="Times New Roman" w:hAnsi="Times New Roman" w:cs="Times New Roman"/>
          <w:sz w:val="24"/>
          <w:szCs w:val="24"/>
          <w:lang w:val="en-US"/>
        </w:rPr>
        <w:t>moyo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456F351">
      <w:pPr>
        <w:pStyle w:val="8"/>
        <w:numPr>
          <w:ilvl w:val="0"/>
          <w:numId w:val="2"/>
        </w:numPr>
        <w:shd w:val="clear" w:color="auto" w:fill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8B74097">
      <w:pPr>
        <w:pStyle w:val="8"/>
        <w:shd w:val="clear" w:color="auto" w:fill="auto"/>
        <w:ind w:left="4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 визначені очікуваної вартості за методом порівняння ринкових цін застосовується формула:</w:t>
      </w:r>
    </w:p>
    <w:p w14:paraId="1F50E2B3">
      <w:pPr>
        <w:pStyle w:val="8"/>
        <w:shd w:val="clear" w:color="auto" w:fill="auto"/>
        <w:ind w:left="4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</w:p>
    <w:p w14:paraId="61B5ADE1">
      <w:pPr>
        <w:pStyle w:val="8"/>
        <w:shd w:val="clear" w:color="auto" w:fill="auto"/>
        <w:ind w:left="4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Цод = (Ц1+…..+Цк)/К</w:t>
      </w:r>
    </w:p>
    <w:p w14:paraId="0876222A">
      <w:pPr>
        <w:pStyle w:val="8"/>
        <w:shd w:val="clear" w:color="auto" w:fill="auto"/>
        <w:ind w:left="4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E1794E">
      <w:pPr>
        <w:pStyle w:val="8"/>
        <w:shd w:val="clear" w:color="auto" w:fill="auto"/>
        <w:ind w:left="4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CDEF076">
      <w:pPr>
        <w:pStyle w:val="8"/>
        <w:shd w:val="clear" w:color="auto" w:fill="auto"/>
        <w:ind w:left="4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Де:</w:t>
      </w:r>
    </w:p>
    <w:p w14:paraId="73B0114E">
      <w:pPr>
        <w:pStyle w:val="8"/>
        <w:shd w:val="clear" w:color="auto" w:fill="auto"/>
        <w:ind w:left="4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Цод- очікувана ціна за одиницю;</w:t>
      </w:r>
    </w:p>
    <w:p w14:paraId="41325795">
      <w:pPr>
        <w:pStyle w:val="8"/>
        <w:shd w:val="clear" w:color="auto" w:fill="auto"/>
        <w:ind w:left="4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Ц1+…..+Цк – діапазон цін, що отримані до єдиних умов;</w:t>
      </w:r>
    </w:p>
    <w:p w14:paraId="12FC7F55">
      <w:pPr>
        <w:pStyle w:val="8"/>
        <w:shd w:val="clear" w:color="auto" w:fill="auto"/>
        <w:ind w:left="4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 – кількість отриманих цін</w:t>
      </w:r>
    </w:p>
    <w:p w14:paraId="2869B910">
      <w:pPr>
        <w:pStyle w:val="8"/>
        <w:shd w:val="clear" w:color="auto" w:fill="auto"/>
        <w:ind w:left="420"/>
        <w:rPr>
          <w:rFonts w:ascii="Times New Roman" w:hAnsi="Times New Roman" w:cs="Times New Roman"/>
          <w:sz w:val="24"/>
          <w:szCs w:val="24"/>
          <w:lang w:val="uk-UA"/>
        </w:rPr>
      </w:pPr>
    </w:p>
    <w:p w14:paraId="1535C9CC">
      <w:pPr>
        <w:pStyle w:val="8"/>
        <w:shd w:val="clear" w:color="auto" w:fill="auto"/>
        <w:ind w:left="4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Отже:</w:t>
      </w:r>
    </w:p>
    <w:p w14:paraId="151B4732">
      <w:pPr>
        <w:pStyle w:val="8"/>
        <w:shd w:val="clear" w:color="auto" w:fill="auto"/>
        <w:ind w:left="4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Цод = (24 999,00 грн.+ 20137,30 грн.+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23863,69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грн.)/3</w:t>
      </w:r>
    </w:p>
    <w:p w14:paraId="4E03AF40">
      <w:pPr>
        <w:pStyle w:val="8"/>
        <w:shd w:val="clear" w:color="auto" w:fill="auto"/>
        <w:ind w:left="4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Цод.=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23000,00 </w:t>
      </w:r>
      <w:r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2175EA9C">
      <w:pPr>
        <w:pStyle w:val="8"/>
        <w:shd w:val="clear" w:color="auto" w:fill="auto"/>
        <w:ind w:left="4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09B8D37">
      <w:pPr>
        <w:pStyle w:val="8"/>
        <w:shd w:val="clear" w:color="auto" w:fill="auto"/>
        <w:ind w:left="420"/>
        <w:jc w:val="lef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предмета закупівлі складе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23 000,00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грн. * 7 штук =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161000,00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грн.</w:t>
      </w:r>
    </w:p>
    <w:p w14:paraId="5240FCAA">
      <w:pPr>
        <w:pStyle w:val="8"/>
        <w:shd w:val="clear" w:color="auto" w:fill="auto"/>
        <w:ind w:left="420"/>
        <w:jc w:val="lef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1F80EF">
      <w:pPr>
        <w:pStyle w:val="8"/>
        <w:shd w:val="clear" w:color="auto" w:fill="auto"/>
        <w:ind w:left="420"/>
        <w:jc w:val="lef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D437CB">
      <w:pPr>
        <w:pStyle w:val="8"/>
        <w:shd w:val="clear" w:color="auto" w:fill="auto"/>
        <w:ind w:left="420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59CEF44A">
      <w:pPr>
        <w:pStyle w:val="8"/>
        <w:shd w:val="clear" w:color="auto" w:fill="auto"/>
        <w:ind w:left="975"/>
        <w:jc w:val="center"/>
        <w:rPr>
          <w:rFonts w:ascii="Times New Roman" w:hAnsi="Times New Roman" w:cs="Arial Narrow"/>
          <w:bCs/>
          <w:color w:val="000000"/>
          <w:sz w:val="24"/>
          <w:szCs w:val="24"/>
          <w:highlight w:val="yellow"/>
          <w:lang w:val="uk-UA" w:eastAsia="uk-UA"/>
        </w:rPr>
      </w:pPr>
    </w:p>
    <w:p w14:paraId="0D253DE9">
      <w:pPr>
        <w:pStyle w:val="8"/>
        <w:shd w:val="clear" w:color="auto" w:fill="auto"/>
        <w:ind w:left="975" w:hanging="975"/>
        <w:rPr>
          <w:rFonts w:ascii="Times New Roman" w:hAnsi="Times New Roman" w:cs="Arial Narrow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eastAsia="Droid Sans Fallback" w:cs="Times New Roman"/>
          <w:bCs/>
          <w:color w:val="00000A"/>
          <w:sz w:val="24"/>
          <w:szCs w:val="24"/>
          <w:lang w:val="uk-UA"/>
        </w:rPr>
        <w:t>Уповноважена особа                                                                                             Яна ГЛОВАЦЬКА</w:t>
      </w:r>
    </w:p>
    <w:p w14:paraId="3E9E7096">
      <w:pPr>
        <w:pStyle w:val="8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</w:p>
    <w:p w14:paraId="70C40405">
      <w:pPr>
        <w:pStyle w:val="8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</w:p>
    <w:p w14:paraId="1445FFFB">
      <w:pPr>
        <w:pStyle w:val="8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  <w:bookmarkStart w:id="0" w:name="_GoBack"/>
      <w:bookmarkEnd w:id="0"/>
    </w:p>
    <w:p w14:paraId="507768BF">
      <w:pPr>
        <w:pStyle w:val="8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</w:p>
    <w:p w14:paraId="5603B7BC">
      <w:pPr>
        <w:pStyle w:val="8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</w:p>
    <w:p w14:paraId="35ADF81F">
      <w:pPr>
        <w:pStyle w:val="8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</w:p>
    <w:p w14:paraId="3DF3BFE3">
      <w:pPr>
        <w:pStyle w:val="8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</w:p>
    <w:p w14:paraId="61EF4250">
      <w:pPr>
        <w:pStyle w:val="8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</w:p>
    <w:p w14:paraId="60FDD623">
      <w:pPr>
        <w:pStyle w:val="8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</w:p>
    <w:p w14:paraId="131BC084">
      <w:pPr>
        <w:pStyle w:val="8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</w:p>
    <w:p w14:paraId="51C84B0E">
      <w:pPr>
        <w:pStyle w:val="8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</w:p>
    <w:p w14:paraId="54331C14">
      <w:pPr>
        <w:pStyle w:val="8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</w:p>
    <w:p w14:paraId="3500A33A">
      <w:pPr>
        <w:pStyle w:val="8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</w:p>
    <w:p w14:paraId="0D56AF1C">
      <w:pPr>
        <w:pStyle w:val="8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</w:p>
    <w:p w14:paraId="0230943E">
      <w:pPr>
        <w:pStyle w:val="8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</w:p>
    <w:p w14:paraId="24338059">
      <w:pPr>
        <w:pStyle w:val="8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</w:p>
    <w:p w14:paraId="2E7993AB">
      <w:pPr>
        <w:pStyle w:val="8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</w:p>
    <w:p w14:paraId="626C9A06">
      <w:pPr>
        <w:pStyle w:val="8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</w:p>
    <w:p w14:paraId="178FB5C8">
      <w:pPr>
        <w:pStyle w:val="8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</w:p>
    <w:p w14:paraId="16021BF0">
      <w:pPr>
        <w:pStyle w:val="8"/>
        <w:shd w:val="clear" w:color="auto" w:fill="auto"/>
        <w:rPr>
          <w:rFonts w:ascii="Times New Roman" w:hAnsi="Times New Roman" w:cs="Times New Roman"/>
          <w:b/>
          <w:sz w:val="22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E49F2"/>
    <w:multiLevelType w:val="multilevel"/>
    <w:tmpl w:val="00AE49F2"/>
    <w:lvl w:ilvl="0" w:tentative="0">
      <w:start w:val="5"/>
      <w:numFmt w:val="bullet"/>
      <w:lvlText w:val="-"/>
      <w:lvlJc w:val="left"/>
      <w:pPr>
        <w:ind w:left="4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>
    <w:nsid w:val="35AA0626"/>
    <w:multiLevelType w:val="multilevel"/>
    <w:tmpl w:val="35AA0626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ind w:left="1335" w:hanging="360"/>
      </w:pPr>
    </w:lvl>
    <w:lvl w:ilvl="2" w:tentative="0">
      <w:start w:val="1"/>
      <w:numFmt w:val="lowerRoman"/>
      <w:lvlText w:val="%3."/>
      <w:lvlJc w:val="right"/>
      <w:pPr>
        <w:ind w:left="2055" w:hanging="180"/>
      </w:pPr>
    </w:lvl>
    <w:lvl w:ilvl="3" w:tentative="0">
      <w:start w:val="1"/>
      <w:numFmt w:val="decimal"/>
      <w:lvlText w:val="%4."/>
      <w:lvlJc w:val="left"/>
      <w:pPr>
        <w:ind w:left="2775" w:hanging="360"/>
      </w:pPr>
    </w:lvl>
    <w:lvl w:ilvl="4" w:tentative="0">
      <w:start w:val="1"/>
      <w:numFmt w:val="lowerLetter"/>
      <w:lvlText w:val="%5."/>
      <w:lvlJc w:val="left"/>
      <w:pPr>
        <w:ind w:left="3495" w:hanging="360"/>
      </w:pPr>
    </w:lvl>
    <w:lvl w:ilvl="5" w:tentative="0">
      <w:start w:val="1"/>
      <w:numFmt w:val="lowerRoman"/>
      <w:lvlText w:val="%6."/>
      <w:lvlJc w:val="right"/>
      <w:pPr>
        <w:ind w:left="4215" w:hanging="180"/>
      </w:pPr>
    </w:lvl>
    <w:lvl w:ilvl="6" w:tentative="0">
      <w:start w:val="1"/>
      <w:numFmt w:val="decimal"/>
      <w:lvlText w:val="%7."/>
      <w:lvlJc w:val="left"/>
      <w:pPr>
        <w:ind w:left="4935" w:hanging="360"/>
      </w:pPr>
    </w:lvl>
    <w:lvl w:ilvl="7" w:tentative="0">
      <w:start w:val="1"/>
      <w:numFmt w:val="lowerLetter"/>
      <w:lvlText w:val="%8."/>
      <w:lvlJc w:val="left"/>
      <w:pPr>
        <w:ind w:left="5655" w:hanging="360"/>
      </w:pPr>
    </w:lvl>
    <w:lvl w:ilvl="8" w:tentative="0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D5415"/>
    <w:rsid w:val="00041799"/>
    <w:rsid w:val="00055AE8"/>
    <w:rsid w:val="000C3B7A"/>
    <w:rsid w:val="000E7590"/>
    <w:rsid w:val="00157B44"/>
    <w:rsid w:val="004C46B2"/>
    <w:rsid w:val="004D30D1"/>
    <w:rsid w:val="00643A7F"/>
    <w:rsid w:val="006B4E09"/>
    <w:rsid w:val="009B3B1D"/>
    <w:rsid w:val="009E3443"/>
    <w:rsid w:val="00A04575"/>
    <w:rsid w:val="00A109ED"/>
    <w:rsid w:val="00A92367"/>
    <w:rsid w:val="00B84F9C"/>
    <w:rsid w:val="00CC1D90"/>
    <w:rsid w:val="00D879DD"/>
    <w:rsid w:val="00DD5415"/>
    <w:rsid w:val="00E16E0F"/>
    <w:rsid w:val="00E77AD8"/>
    <w:rsid w:val="00FC5806"/>
    <w:rsid w:val="1400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List Paragraph"/>
    <w:basedOn w:val="1"/>
    <w:link w:val="6"/>
    <w:qFormat/>
    <w:uiPriority w:val="99"/>
    <w:pPr>
      <w:ind w:left="720"/>
      <w:contextualSpacing/>
    </w:pPr>
  </w:style>
  <w:style w:type="character" w:customStyle="1" w:styleId="6">
    <w:name w:val="Абзац списку Знак"/>
    <w:link w:val="5"/>
    <w:locked/>
    <w:uiPriority w:val="99"/>
  </w:style>
  <w:style w:type="character" w:customStyle="1" w:styleId="7">
    <w:name w:val="Основной текст_"/>
    <w:link w:val="8"/>
    <w:qFormat/>
    <w:locked/>
    <w:uiPriority w:val="99"/>
    <w:rPr>
      <w:rFonts w:ascii="Arial Narrow" w:hAnsi="Arial Narrow"/>
      <w:sz w:val="21"/>
      <w:shd w:val="clear" w:color="auto" w:fill="FFFFFF"/>
    </w:rPr>
  </w:style>
  <w:style w:type="paragraph" w:customStyle="1" w:styleId="8">
    <w:name w:val="Основной текст2"/>
    <w:basedOn w:val="1"/>
    <w:link w:val="7"/>
    <w:qFormat/>
    <w:uiPriority w:val="99"/>
    <w:pPr>
      <w:widowControl w:val="0"/>
      <w:shd w:val="clear" w:color="auto" w:fill="FFFFFF"/>
      <w:spacing w:after="0" w:line="250" w:lineRule="exact"/>
      <w:jc w:val="both"/>
    </w:pPr>
    <w:rPr>
      <w:rFonts w:ascii="Arial Narrow" w:hAnsi="Arial Narrow"/>
      <w:sz w:val="21"/>
      <w:shd w:val="clear" w:color="auto" w:fill="FFFFFF"/>
    </w:rPr>
  </w:style>
  <w:style w:type="character" w:customStyle="1" w:styleId="9">
    <w:name w:val="Основной текст1"/>
    <w:qFormat/>
    <w:uiPriority w:val="99"/>
    <w:rPr>
      <w:rFonts w:ascii="Arial Narrow" w:hAnsi="Arial Narrow"/>
      <w:color w:val="000000"/>
      <w:spacing w:val="0"/>
      <w:w w:val="100"/>
      <w:position w:val="0"/>
      <w:sz w:val="21"/>
      <w:u w:val="none"/>
      <w:lang w:val="uk-UA"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3978</Words>
  <Characters>2268</Characters>
  <Lines>18</Lines>
  <Paragraphs>12</Paragraphs>
  <TotalTime>159</TotalTime>
  <ScaleCrop>false</ScaleCrop>
  <LinksUpToDate>false</LinksUpToDate>
  <CharactersWithSpaces>6234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2023-07-10T11:45:00Z</dcterms:created>
  <dc:creator>IZ</dc:creator>
  <cp:lastModifiedBy>IZ</cp:lastModifiedBy>
  <cp:lastPrinted>2025-06-02T09:14:02Z</cp:lastPrinted>
  <dcterms:modified xsi:type="dcterms:W3CDTF">2025-06-02T09:26:07Z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F67EEB3F554B4307BB4E1D483A197790_12</vt:lpwstr>
  </property>
</Properties>
</file>