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7B" w:rsidRDefault="00E2027B" w:rsidP="00E2027B">
      <w:pPr>
        <w:pStyle w:val="a8"/>
        <w:ind w:left="5672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Додаток 4 </w:t>
      </w:r>
    </w:p>
    <w:p w:rsidR="00E2027B" w:rsidRDefault="00E2027B" w:rsidP="00E2027B">
      <w:pPr>
        <w:pStyle w:val="a8"/>
        <w:ind w:left="5672"/>
        <w:rPr>
          <w:lang w:val="ru-RU"/>
        </w:rPr>
      </w:pPr>
      <w:r>
        <w:rPr>
          <w:lang w:val="ru-RU"/>
        </w:rPr>
        <w:t>до листа ГУДКСУ</w:t>
      </w:r>
    </w:p>
    <w:p w:rsidR="00E2027B" w:rsidRDefault="00E2027B" w:rsidP="00E2027B">
      <w:pPr>
        <w:pStyle w:val="a8"/>
        <w:ind w:left="5672"/>
        <w:rPr>
          <w:lang w:val="ru-RU"/>
        </w:rPr>
      </w:pPr>
      <w:r>
        <w:rPr>
          <w:lang w:val="ru-RU"/>
        </w:rPr>
        <w:t>у Кіровоградській області</w:t>
      </w:r>
    </w:p>
    <w:p w:rsidR="00E2027B" w:rsidRPr="00E2027B" w:rsidRDefault="00E2027B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2027B" w:rsidRDefault="004B7BE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B7BE7">
        <w:rPr>
          <w:rFonts w:ascii="Times New Roman" w:hAnsi="Times New Roman"/>
          <w:b/>
          <w:color w:val="000000"/>
          <w:sz w:val="28"/>
          <w:szCs w:val="28"/>
        </w:rPr>
        <w:t>Обґрунтування технічних, якісних характеристик та розміру бюджетного призначення предмету закупівлі, оголошеної УДКСУ Новоархангельському районі</w:t>
      </w:r>
    </w:p>
    <w:p w:rsidR="004B7BE7" w:rsidRDefault="004B7BE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2027B" w:rsidRDefault="00E2027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Управління Державної казначейської служби України у Новоархангельському районі Кіровоградської області; 37583411; 26100, Кіровоградська область, Голованівський район, смт.Новоархангельськ, вул.Центральна 36  ; категорія - орган державної влади.</w:t>
      </w:r>
    </w:p>
    <w:p w:rsidR="00E2027B" w:rsidRDefault="00E202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27B" w:rsidRDefault="00E2027B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CE8">
        <w:rPr>
          <w:rStyle w:val="FontStyle12"/>
          <w:rFonts w:cs="Times New Roman"/>
          <w:color w:val="000000"/>
          <w:sz w:val="28"/>
          <w:szCs w:val="28"/>
          <w:lang w:bidi="ar-SA"/>
        </w:rPr>
        <w:t>09310000-5 Електрична енергія (електрична енергія ).</w:t>
      </w:r>
    </w:p>
    <w:p w:rsidR="00E2027B" w:rsidRDefault="00E2027B">
      <w:pPr>
        <w:shd w:val="clear" w:color="auto" w:fill="FFFFFF"/>
        <w:spacing w:line="240" w:lineRule="atLeast"/>
        <w:jc w:val="both"/>
      </w:pPr>
      <w:r>
        <w:rPr>
          <w:rStyle w:val="FontStyle12"/>
          <w:rFonts w:cs="Times New Roman"/>
          <w:b/>
          <w:bCs/>
          <w:color w:val="000000"/>
          <w:sz w:val="28"/>
          <w:szCs w:val="28"/>
          <w:lang w:bidi="ar-SA"/>
        </w:rPr>
        <w:tab/>
        <w:t>2.1. Номенклатурна позиція за найбільш підходящим кодом: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09310000-5 Електрична енергія </w:t>
      </w:r>
      <w:r w:rsidRPr="00F70CE8">
        <w:rPr>
          <w:rStyle w:val="FontStyle12"/>
          <w:rFonts w:cs="Times New Roman"/>
          <w:color w:val="000000"/>
          <w:sz w:val="28"/>
          <w:szCs w:val="28"/>
          <w:lang w:val="ru-RU" w:bidi="ar-SA"/>
        </w:rPr>
        <w:t>(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електрична енергія </w:t>
      </w:r>
      <w:r w:rsidRPr="00F70CE8">
        <w:rPr>
          <w:rStyle w:val="FontStyle12"/>
          <w:rFonts w:cs="Times New Roman"/>
          <w:color w:val="000000"/>
          <w:sz w:val="28"/>
          <w:szCs w:val="28"/>
          <w:lang w:val="ru-RU" w:bidi="ar-SA"/>
        </w:rPr>
        <w:t>).</w:t>
      </w:r>
    </w:p>
    <w:p w:rsidR="00E2027B" w:rsidRDefault="00E2027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3. Ідентифікатор закупівлі: </w:t>
      </w:r>
      <w:r>
        <w:rPr>
          <w:rFonts w:ascii="Times New Roman" w:hAnsi="Times New Roman"/>
          <w:color w:val="000000"/>
          <w:sz w:val="28"/>
          <w:szCs w:val="28"/>
        </w:rPr>
        <w:t>UA-2024-12-03-014218-a</w:t>
      </w:r>
      <w:r w:rsidRPr="00F70CE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2027B" w:rsidRDefault="00E2027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2027B" w:rsidRDefault="00E2027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E2027B" w:rsidRDefault="00E2027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4.1. Клас напруги: 2 кл.</w:t>
      </w:r>
    </w:p>
    <w:p w:rsidR="00E2027B" w:rsidRDefault="00E2027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4.2 Взаємовідносини між постачальниками та споживачами електричної енергії регулюються наступними документами:</w:t>
      </w:r>
    </w:p>
    <w:p w:rsidR="00E2027B" w:rsidRDefault="00E2027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Законом України «Про ринок електричної енергії» від 13.04.2017 № 2019-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Ш (зі змінами);</w:t>
      </w:r>
    </w:p>
    <w:p w:rsidR="00E2027B" w:rsidRDefault="00E2027B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Правилами роздрібного ринку електричної енергії (Постанова НКРЕКП від 14.03.2018  № 312 (зі змінами));</w:t>
      </w:r>
    </w:p>
    <w:p w:rsidR="00E2027B" w:rsidRDefault="00E2027B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Кодексом систем передачі електричної енергії (Постанова НКРЕКП від 14.03.2018 № 309 (зі змінами));</w:t>
      </w:r>
    </w:p>
    <w:p w:rsidR="00E2027B" w:rsidRDefault="00E2027B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Кодексом систем розподілу (Постанова НКРЕКП від 14.03.2018 року № 310 (зі змінами));</w:t>
      </w:r>
    </w:p>
    <w:p w:rsidR="00E2027B" w:rsidRDefault="00E2027B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Кодексом комерційного обліку електричної енергії (Постанова НКРЕКП від 14.03.2018 року № 311 (зі змінами));</w:t>
      </w:r>
    </w:p>
    <w:p w:rsidR="00E2027B" w:rsidRDefault="00E2027B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Ліцензійні умови провадження господарської діяльності з постачання електричної енергії споживачу (Постанова НКРЕКП від 27.12.2017 року № 1469 (зі змінами));</w:t>
      </w:r>
    </w:p>
    <w:p w:rsidR="00E2027B" w:rsidRDefault="00E2027B">
      <w:pPr>
        <w:numPr>
          <w:ilvl w:val="0"/>
          <w:numId w:val="1"/>
        </w:numPr>
        <w:suppressAutoHyphens w:val="0"/>
        <w:ind w:left="0" w:firstLine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Ліцензійні умови провадження господарської діяльності з розподілу еле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тричної енергії (Постанова НКРЕКП від 27.12.2017 року № 1470 (зі змінами)).</w:t>
      </w:r>
    </w:p>
    <w:p w:rsidR="00E2027B" w:rsidRDefault="00E2027B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Якість електричної енергії:</w:t>
      </w:r>
    </w:p>
    <w:p w:rsidR="00E2027B" w:rsidRDefault="00E2027B">
      <w:pPr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Технічні, якісні характеристики товару за предметом закупівлі повинні відповідати встановленим/зареєстрованим чинним нормативним актам чинного законодавства (державним стандартам, технічним умовам тощо), які передбачають застосування заходів із захисту довкілля.  </w:t>
      </w:r>
    </w:p>
    <w:p w:rsidR="00E2027B" w:rsidRDefault="00E2027B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Товар повинен відповідати показникам якості безпеки, які встановлюют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ся законодавством України та діючими стандартами.</w:t>
      </w:r>
    </w:p>
    <w:p w:rsidR="00E2027B" w:rsidRDefault="00E2027B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lastRenderedPageBreak/>
        <w:tab/>
        <w:t>Безперервне постачання електричної енергії.</w:t>
      </w:r>
    </w:p>
    <w:p w:rsidR="00E2027B" w:rsidRDefault="00E202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27B" w:rsidRDefault="00E2027B">
      <w:pPr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ab/>
        <w:t>5. Обґрунтування очікуваної вартості предмета закупівлі:</w:t>
      </w:r>
    </w:p>
    <w:p w:rsidR="00E2027B" w:rsidRDefault="00E2027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Відповідно до наказу Міністерства розвитку економіки, торгівлі та сільського господарства України від 18.02.2020 № 275 “Про затвердження примірної методики визначення очікуваної вартості предмета закупівлі”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розділу ІІІ </w:t>
      </w:r>
      <w:r>
        <w:rPr>
          <w:rStyle w:val="rvts23"/>
          <w:iCs/>
          <w:sz w:val="26"/>
          <w:szCs w:val="26"/>
        </w:rPr>
        <w:t xml:space="preserve">Методики визначення очікуваної вартості предмета закупівлі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zh-CN" w:bidi="ar-SA"/>
        </w:rPr>
        <w:t>в Державній казначейській службі України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, затвердженої наказом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zh-CN" w:bidi="ar-SA"/>
        </w:rPr>
        <w:t>Державної казначейської служби України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від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zh-CN" w:bidi="ar-SA"/>
        </w:rPr>
        <w:t>12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.05.2020 1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zh-CN" w:bidi="ar-SA"/>
        </w:rPr>
        <w:t>25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“Про затвердження методики </w:t>
      </w:r>
      <w:r>
        <w:rPr>
          <w:rStyle w:val="rvts23"/>
          <w:iCs/>
          <w:sz w:val="26"/>
          <w:szCs w:val="26"/>
        </w:rPr>
        <w:t xml:space="preserve">визначення очікуваної вартості предмета закупівлі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у </w:t>
      </w:r>
      <w:r>
        <w:rPr>
          <w:rFonts w:ascii="Times New Roman" w:hAnsi="Times New Roman" w:cs="Times New Roman"/>
          <w:iCs/>
          <w:color w:val="000000"/>
          <w:sz w:val="26"/>
          <w:szCs w:val="26"/>
          <w:lang w:eastAsia="zh-CN" w:bidi="ar-SA"/>
        </w:rPr>
        <w:t>Державній казначейській службі України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” </w:t>
      </w:r>
      <w:r>
        <w:rPr>
          <w:rFonts w:ascii="Times New Roman" w:hAnsi="Times New Roman"/>
          <w:color w:val="000000"/>
          <w:sz w:val="28"/>
          <w:szCs w:val="28"/>
        </w:rPr>
        <w:t>проведено розрахунок очікуваної вартості товарів (електрична енергія) методом порівняння ринкових цін</w:t>
      </w:r>
      <w:r w:rsidRPr="00F70C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шляхом моніторингу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загальнодоступної інформації, про ціну на електричну енергію, що міститься в електронній системі публічних закупівель “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Prozorro</w:t>
      </w:r>
      <w:r>
        <w:rPr>
          <w:rFonts w:ascii="Times New Roman" w:hAnsi="Times New Roman"/>
          <w:color w:val="000000"/>
          <w:sz w:val="28"/>
          <w:szCs w:val="28"/>
        </w:rPr>
        <w:t xml:space="preserve">”. </w:t>
      </w:r>
    </w:p>
    <w:p w:rsidR="00E2027B" w:rsidRDefault="00E2027B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Очікувана ціна за одиницю = (8,54 грн. + 7,65 грн + 7,51 грн.)/3 = 7,90 грн за 1 кВт*год. Очікувану вартість = 7,90 грн за 1 кВт*год. * 15 000 кВт*год. (заплановано на 2025 рік.) = 118 500,00 грн. </w:t>
      </w:r>
    </w:p>
    <w:p w:rsidR="00E2027B" w:rsidRDefault="00E2027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27B" w:rsidRDefault="00E2027B">
      <w:pPr>
        <w:jc w:val="both"/>
        <w:rPr>
          <w:color w:val="000000"/>
        </w:rPr>
      </w:pPr>
    </w:p>
    <w:sectPr w:rsidR="00E2027B" w:rsidSect="00F70CE8">
      <w:type w:val="continuous"/>
      <w:pgSz w:w="11906" w:h="16838"/>
      <w:pgMar w:top="1134" w:right="567" w:bottom="1134" w:left="1701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2B" w:rsidRDefault="00F3572B">
      <w:r>
        <w:separator/>
      </w:r>
    </w:p>
  </w:endnote>
  <w:endnote w:type="continuationSeparator" w:id="0">
    <w:p w:rsidR="00F3572B" w:rsidRDefault="00F3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2B" w:rsidRDefault="00F3572B">
      <w:r>
        <w:rPr>
          <w:rFonts w:cs="Times New Roman"/>
          <w:kern w:val="0"/>
          <w:lang w:val="ru-RU" w:bidi="ar-SA"/>
        </w:rPr>
        <w:separator/>
      </w:r>
    </w:p>
  </w:footnote>
  <w:footnote w:type="continuationSeparator" w:id="0">
    <w:p w:rsidR="00F3572B" w:rsidRDefault="00F3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6"/>
      <w:numFmt w:val="bullet"/>
      <w:lvlText w:val="-"/>
      <w:lvlJc w:val="left"/>
      <w:pPr>
        <w:ind w:left="720" w:hanging="360"/>
      </w:pPr>
      <w:rPr>
        <w:rFonts w:ascii="Liberation Serif" w:hAnsi="Liberation Serif"/>
        <w:kern w:val="1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8"/>
    <w:rsid w:val="004B7BE7"/>
    <w:rsid w:val="009E0443"/>
    <w:rsid w:val="00E2027B"/>
    <w:rsid w:val="00F3572B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8BB27861-317D-4D19-94AF-C2E0A216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 w:eastAsia="x-none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  <w:rPr>
      <w:kern w:val="1"/>
      <w:sz w:val="22"/>
    </w:rPr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  <w:rPr>
      <w:kern w:val="1"/>
      <w:sz w:val="22"/>
    </w:rPr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paragraph" w:customStyle="1" w:styleId="c7e0e3eeebeee2eeea">
    <w:name w:val="Зc7аe0гe3оeeлebоeeвe2оeeкea"/>
    <w:basedOn w:val="a"/>
    <w:next w:val="a3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link w:val="a4"/>
    <w:uiPriority w:val="99"/>
    <w:pPr>
      <w:spacing w:after="140" w:line="276" w:lineRule="auto"/>
    </w:p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Liberation Serif" w:hAnsi="Liberation Serif" w:cs="Mangal"/>
      <w:kern w:val="1"/>
      <w:sz w:val="24"/>
      <w:szCs w:val="21"/>
      <w:lang w:eastAsia="ru-RU"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styleId="a7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cecee1e1fbfbf7f7ededfbfbe9e9eeeef2f2f1f1f2f2f3f3efef2">
    <w:name w:val="Оceceбe1e1ыfbfbчf7f7нededыfbfbйe9e9 оeeeeтf2f2сf1f1тf2f2уf3f3пefef2"/>
    <w:basedOn w:val="a"/>
    <w:uiPriority w:val="99"/>
    <w:pPr>
      <w:ind w:firstLine="567"/>
      <w:jc w:val="both"/>
    </w:pPr>
    <w:rPr>
      <w:lang w:eastAsia="uk-UA"/>
    </w:rPr>
  </w:style>
  <w:style w:type="paragraph" w:styleId="a8">
    <w:name w:val="Normal Indent"/>
    <w:basedOn w:val="a"/>
    <w:uiPriority w:val="99"/>
    <w:rsid w:val="00E2027B"/>
    <w:pPr>
      <w:ind w:firstLine="709"/>
      <w:jc w:val="both"/>
    </w:pPr>
    <w:rPr>
      <w:rFonts w:ascii="Times New Roman" w:hAnsi="Times New Roman"/>
      <w:kern w:val="2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2289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Турчинська Марина Олександрівна</dc:creator>
  <cp:keywords/>
  <dc:description/>
  <cp:lastModifiedBy>Турчинська Марина Олександрівна</cp:lastModifiedBy>
  <cp:revision>2</cp:revision>
  <dcterms:created xsi:type="dcterms:W3CDTF">2025-02-07T10:10:00Z</dcterms:created>
  <dcterms:modified xsi:type="dcterms:W3CDTF">2025-02-07T10:10:00Z</dcterms:modified>
</cp:coreProperties>
</file>