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0FB3" w:rsidRDefault="00FE0FB3">
      <w:pPr>
        <w:spacing w:after="0" w:line="240" w:lineRule="auto"/>
        <w:jc w:val="center"/>
      </w:pPr>
      <w:bookmarkStart w:id="0" w:name="_GoBack"/>
      <w:bookmarkEnd w:id="0"/>
    </w:p>
    <w:p w:rsidR="00FE0FB3" w:rsidRDefault="005B4E27">
      <w:pPr>
        <w:spacing w:after="0" w:line="240" w:lineRule="auto"/>
        <w:ind w:left="-1418"/>
        <w:jc w:val="center"/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Головне управління  Державної  казначейської служби України у Чернівецькій області</w:t>
      </w:r>
    </w:p>
    <w:p w:rsidR="00FE0FB3" w:rsidRDefault="005B4E27">
      <w:pPr>
        <w:spacing w:after="0" w:line="240" w:lineRule="auto"/>
        <w:ind w:left="-1418"/>
        <w:jc w:val="center"/>
        <w:rPr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             (ГУ ДКСУ  у Чернівецькій області)</w:t>
      </w:r>
    </w:p>
    <w:p w:rsidR="00FE0FB3" w:rsidRDefault="00FE0FB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:rsidR="00FE0FB3" w:rsidRDefault="005B4E27">
      <w:pPr>
        <w:spacing w:before="280" w:after="0" w:line="240" w:lineRule="auto"/>
        <w:jc w:val="center"/>
        <w:rPr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ОБҐРУНТУВАННЯ </w:t>
      </w:r>
    </w:p>
    <w:p w:rsidR="00FE0FB3" w:rsidRDefault="005B4E27">
      <w:pPr>
        <w:spacing w:after="280" w:line="240" w:lineRule="auto"/>
        <w:jc w:val="center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технічних та якісних характеристик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послуг охорони </w:t>
      </w: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об”єкта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</w:rPr>
        <w:t xml:space="preserve">,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розміру бюджетного </w:t>
      </w:r>
      <w:r>
        <w:rPr>
          <w:rFonts w:ascii="Times New Roman" w:eastAsia="Times New Roman" w:hAnsi="Times New Roman" w:cs="Times New Roman"/>
          <w:sz w:val="26"/>
          <w:szCs w:val="26"/>
        </w:rPr>
        <w:t>призначення, очікуваної вартості предмета закупівлі</w:t>
      </w:r>
    </w:p>
    <w:p w:rsidR="00FE0FB3" w:rsidRDefault="005B4E27">
      <w:pPr>
        <w:spacing w:before="280" w:after="280" w:line="240" w:lineRule="auto"/>
        <w:jc w:val="both"/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(оприлюднюється на виконання постанови КМУ № 710 від 11.10.2016 «Про ефективне використання державних коштів» (зі змінами))</w:t>
      </w:r>
    </w:p>
    <w:p w:rsidR="00FE0FB3" w:rsidRDefault="005B4E27">
      <w:pPr>
        <w:pStyle w:val="aa"/>
        <w:numPr>
          <w:ilvl w:val="0"/>
          <w:numId w:val="1"/>
        </w:numPr>
        <w:tabs>
          <w:tab w:val="left" w:pos="851"/>
        </w:tabs>
        <w:spacing w:after="120" w:line="240" w:lineRule="auto"/>
        <w:ind w:left="0" w:firstLine="425"/>
        <w:jc w:val="both"/>
        <w:rPr>
          <w:sz w:val="26"/>
          <w:szCs w:val="26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Найменування, місцезнаходження та ідентифікаційний код замовника в Єдиному держа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вному реєстрі юридичних осіб, фізичних осіб - підприємців та громадських формувань, його категорія: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Головне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управління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Державної казначейської служби України у Чернівецькій області;  Василя Аксенина,2Е, Чернівецька обл.,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м.Чернівці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, 58022; код за ЄДРПОУ –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37836095; категорія замовника – орган державної влади.</w:t>
      </w:r>
    </w:p>
    <w:p w:rsidR="00FE0FB3" w:rsidRDefault="005B4E27">
      <w:pPr>
        <w:pStyle w:val="aa"/>
        <w:numPr>
          <w:ilvl w:val="0"/>
          <w:numId w:val="1"/>
        </w:numPr>
        <w:tabs>
          <w:tab w:val="left" w:pos="450"/>
          <w:tab w:val="left" w:pos="851"/>
        </w:tabs>
        <w:spacing w:after="120" w:line="240" w:lineRule="auto"/>
        <w:ind w:left="-57" w:firstLine="510"/>
        <w:jc w:val="both"/>
      </w:pPr>
      <w:r>
        <w:rPr>
          <w:rFonts w:ascii="Times New Roman" w:hAnsi="Times New Roman"/>
          <w:b/>
          <w:bCs/>
          <w:sz w:val="24"/>
          <w:szCs w:val="24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</w:t>
      </w:r>
      <w:r>
        <w:rPr>
          <w:rFonts w:ascii="Times New Roman" w:hAnsi="Times New Roman"/>
          <w:b/>
          <w:bCs/>
          <w:sz w:val="24"/>
          <w:szCs w:val="24"/>
        </w:rPr>
        <w:t>ета закупівлі і частин предмета закупівлі (лотів) (за наявності):</w:t>
      </w: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Style w:val="a4"/>
          <w:rFonts w:ascii="Times New Roman" w:hAnsi="Times New Roman"/>
          <w:b w:val="0"/>
          <w:bCs w:val="0"/>
          <w:color w:val="000000"/>
          <w:sz w:val="24"/>
          <w:szCs w:val="24"/>
        </w:rPr>
        <w:t xml:space="preserve">ДК 021:2015 – 79710000-4 — Охоронні послуги (Послуги фізичної охорони адміністративної будівлі та прилеглої території Головного управління Державної казначейської служби України у </w:t>
      </w:r>
      <w:r>
        <w:rPr>
          <w:rStyle w:val="a4"/>
          <w:rFonts w:ascii="Times New Roman" w:hAnsi="Times New Roman"/>
          <w:b w:val="0"/>
          <w:bCs w:val="0"/>
          <w:color w:val="000000"/>
          <w:sz w:val="24"/>
          <w:szCs w:val="24"/>
        </w:rPr>
        <w:t xml:space="preserve">Чернівецькій області за </w:t>
      </w:r>
      <w:proofErr w:type="spellStart"/>
      <w:r>
        <w:rPr>
          <w:rStyle w:val="a4"/>
          <w:rFonts w:ascii="Times New Roman" w:hAnsi="Times New Roman"/>
          <w:b w:val="0"/>
          <w:bCs w:val="0"/>
          <w:color w:val="000000"/>
          <w:sz w:val="24"/>
          <w:szCs w:val="24"/>
        </w:rPr>
        <w:t>адресою</w:t>
      </w:r>
      <w:proofErr w:type="spellEnd"/>
      <w:r>
        <w:rPr>
          <w:rStyle w:val="a4"/>
          <w:rFonts w:ascii="Times New Roman" w:hAnsi="Times New Roman"/>
          <w:b w:val="0"/>
          <w:bCs w:val="0"/>
          <w:color w:val="000000"/>
          <w:sz w:val="24"/>
          <w:szCs w:val="24"/>
        </w:rPr>
        <w:t xml:space="preserve">: м. Чернівці, вул. В. </w:t>
      </w:r>
      <w:proofErr w:type="spellStart"/>
      <w:r>
        <w:rPr>
          <w:rStyle w:val="a4"/>
          <w:rFonts w:ascii="Times New Roman" w:hAnsi="Times New Roman"/>
          <w:b w:val="0"/>
          <w:bCs w:val="0"/>
          <w:color w:val="000000"/>
          <w:sz w:val="24"/>
          <w:szCs w:val="24"/>
        </w:rPr>
        <w:t>Аксенина</w:t>
      </w:r>
      <w:proofErr w:type="spellEnd"/>
      <w:r>
        <w:rPr>
          <w:rStyle w:val="a4"/>
          <w:rFonts w:ascii="Times New Roman" w:hAnsi="Times New Roman"/>
          <w:b w:val="0"/>
          <w:bCs w:val="0"/>
          <w:color w:val="000000"/>
          <w:sz w:val="24"/>
          <w:szCs w:val="24"/>
        </w:rPr>
        <w:t>, 2Е, надання послуг по здійсненню внутрішньо-об’єктового пропускного режиму у приміщеннях та на території об’єкту, моніторинг сигналів тривоги з пристроїв тривожної сигналізації).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E0FB3" w:rsidRDefault="005B4E27">
      <w:pPr>
        <w:pStyle w:val="aa"/>
        <w:numPr>
          <w:ilvl w:val="0"/>
          <w:numId w:val="1"/>
        </w:numPr>
        <w:tabs>
          <w:tab w:val="left" w:pos="851"/>
        </w:tabs>
        <w:spacing w:after="120" w:line="240" w:lineRule="auto"/>
        <w:ind w:left="0" w:firstLine="425"/>
        <w:jc w:val="both"/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Вид та ідент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ифікатор закупівлі: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Відкриті торги з особливостями </w:t>
      </w:r>
      <w:bookmarkStart w:id="1" w:name="__DdeLink__288_1998066984"/>
      <w:bookmarkEnd w:id="1"/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UA-2024-02-05-015534-a  </w:t>
      </w:r>
    </w:p>
    <w:p w:rsidR="00FE0FB3" w:rsidRDefault="005B4E27">
      <w:pPr>
        <w:pStyle w:val="aa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Обґрунтування технічних та якісних характеристик предмета закупівлі: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 w:firstLine="567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Об’єктом охорони є приміщення адміністративної будівлі  та прилеглої території </w:t>
      </w:r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lang w:eastAsia="ru-RU"/>
        </w:rPr>
        <w:t xml:space="preserve">Головного управління Державної </w:t>
      </w:r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lang w:eastAsia="ru-RU"/>
        </w:rPr>
        <w:t xml:space="preserve">казначейської служби України у Чернівецькій області за </w:t>
      </w:r>
      <w:proofErr w:type="spellStart"/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lang w:eastAsia="ru-RU"/>
        </w:rPr>
        <w:t>адресою</w:t>
      </w:r>
      <w:proofErr w:type="spellEnd"/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lang w:eastAsia="ru-RU"/>
        </w:rPr>
        <w:t xml:space="preserve">: м. Чернівці, вул. В. </w:t>
      </w:r>
      <w:proofErr w:type="spellStart"/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lang w:eastAsia="ru-RU"/>
        </w:rPr>
        <w:t>Аксенина</w:t>
      </w:r>
      <w:proofErr w:type="spellEnd"/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lang w:eastAsia="ru-RU"/>
        </w:rPr>
        <w:t>, 2Е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.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/>
        <w:jc w:val="both"/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Площа території: двоповерхова адміністративна будівля — 1612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кв.м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прибудинкова територія —   0,3986 га.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E0FB3" w:rsidRDefault="005B4E27">
      <w:pPr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Режим чергування: цілодобово. </w:t>
      </w:r>
    </w:p>
    <w:p w:rsidR="00FE0FB3" w:rsidRDefault="005B4E27">
      <w:pPr>
        <w:tabs>
          <w:tab w:val="left" w:pos="450"/>
        </w:tabs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Кількість </w:t>
      </w:r>
      <w:r>
        <w:rPr>
          <w:rFonts w:ascii="Times New Roman" w:hAnsi="Times New Roman" w:cs="Times New Roman"/>
          <w:color w:val="000000"/>
          <w:sz w:val="24"/>
          <w:szCs w:val="24"/>
        </w:rPr>
        <w:t>охоронників, що одночасно перебувають на об'єкті: 1 охоронник..</w:t>
      </w:r>
    </w:p>
    <w:p w:rsidR="00FE0FB3" w:rsidRDefault="005B4E27">
      <w:pPr>
        <w:pStyle w:val="aa"/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Фактичний обсяг послуг охорони на 2024 рік (кількість людино-годин) для забезпечення потреб 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ГУ ДКСУ у Чернівецькій області, розраховується від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дати оприлюднення повідомлення про намір укласти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договір з учасником, якого визнано згідно рішення замовника переможцем процедури відкритих торгів за Особливостями щодо закупівлі послуг охорони.</w:t>
      </w:r>
    </w:p>
    <w:p w:rsidR="00FE0FB3" w:rsidRDefault="005B4E27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Строк надання послуг - протягом 2024 року.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 w:firstLine="567"/>
        <w:jc w:val="both"/>
      </w:pP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Послуги суб`єктів охоронної діяльності з фізичної охорони необхідн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і для забезпечення безпеки  ГУ ДКСУ у Чернівецькій області, з метою підтримання та оформлення пропускного режиму, підтримання громадського порядку в</w:t>
      </w:r>
      <w:r>
        <w:rPr>
          <w:rFonts w:ascii="Times New Roman" w:eastAsia="Times New Roman" w:hAnsi="Times New Roman"/>
          <w:sz w:val="26"/>
          <w:szCs w:val="26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приміщеннях, збереження майна, для здійснення охорони з метою безперебійного виконання ГУ ДКСУ у Чернівецьк</w:t>
      </w:r>
      <w:r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ій області покладених на нього функцій та повноважень.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/>
        <w:jc w:val="both"/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        Особливості несення служби: 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-здійснення пропускного режиму;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-спостереження за станом системи охоронно-тривожної сигналізації;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-реагування на сигнали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 w:firstLine="567"/>
        <w:jc w:val="both"/>
        <w:rPr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- спостереження за станом системи відеоспо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стереження. </w:t>
      </w:r>
    </w:p>
    <w:p w:rsidR="00FE0FB3" w:rsidRDefault="005B4E27">
      <w:pPr>
        <w:pStyle w:val="aa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Обґрунтування розміру бюджетного призначення: 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 w:firstLine="567"/>
        <w:jc w:val="both"/>
      </w:pPr>
      <w:proofErr w:type="spellStart"/>
      <w:r>
        <w:rPr>
          <w:rFonts w:ascii="Times New Roman" w:eastAsia="Times New Roman" w:hAnsi="Times New Roman"/>
          <w:b/>
          <w:color w:val="1D1D1B"/>
          <w:sz w:val="24"/>
          <w:szCs w:val="24"/>
          <w:lang w:val="ru-RU"/>
        </w:rPr>
        <w:lastRenderedPageBreak/>
        <w:t>Розмір</w:t>
      </w:r>
      <w:proofErr w:type="spellEnd"/>
      <w:r>
        <w:rPr>
          <w:rFonts w:ascii="Times New Roman" w:eastAsia="Times New Roman" w:hAnsi="Times New Roman"/>
          <w:b/>
          <w:color w:val="1D1D1B"/>
          <w:sz w:val="24"/>
          <w:szCs w:val="24"/>
          <w:lang w:val="ru-RU"/>
        </w:rPr>
        <w:t xml:space="preserve"> бюджетного </w:t>
      </w:r>
      <w:proofErr w:type="spellStart"/>
      <w:r>
        <w:rPr>
          <w:rFonts w:ascii="Times New Roman" w:eastAsia="Times New Roman" w:hAnsi="Times New Roman"/>
          <w:b/>
          <w:color w:val="1D1D1B"/>
          <w:sz w:val="24"/>
          <w:szCs w:val="24"/>
          <w:lang w:val="ru-RU"/>
        </w:rPr>
        <w:t>призначення</w:t>
      </w:r>
      <w:proofErr w:type="spellEnd"/>
      <w:r>
        <w:rPr>
          <w:rFonts w:ascii="Times New Roman" w:eastAsia="Times New Roman" w:hAnsi="Times New Roman"/>
          <w:b/>
          <w:color w:val="1D1D1B"/>
          <w:sz w:val="24"/>
          <w:szCs w:val="24"/>
          <w:lang w:val="ru-RU"/>
        </w:rPr>
        <w:t xml:space="preserve"> на 2024 </w:t>
      </w:r>
      <w:proofErr w:type="spellStart"/>
      <w:r>
        <w:rPr>
          <w:rFonts w:ascii="Times New Roman" w:eastAsia="Times New Roman" w:hAnsi="Times New Roman"/>
          <w:b/>
          <w:color w:val="1D1D1B"/>
          <w:sz w:val="24"/>
          <w:szCs w:val="24"/>
          <w:lang w:val="ru-RU"/>
        </w:rPr>
        <w:t>рік</w:t>
      </w:r>
      <w:proofErr w:type="spellEnd"/>
      <w:r>
        <w:rPr>
          <w:rFonts w:ascii="Times New Roman" w:eastAsia="Times New Roman" w:hAnsi="Times New Roman"/>
          <w:b/>
          <w:color w:val="1D1D1B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/>
          <w:color w:val="1D1D1B"/>
          <w:sz w:val="24"/>
          <w:szCs w:val="24"/>
          <w:lang w:val="ru-RU"/>
        </w:rPr>
        <w:t xml:space="preserve">за предметом </w:t>
      </w:r>
      <w:proofErr w:type="spellStart"/>
      <w:r>
        <w:rPr>
          <w:rFonts w:ascii="Times New Roman" w:eastAsia="Times New Roman" w:hAnsi="Times New Roman"/>
          <w:color w:val="1D1D1B"/>
          <w:sz w:val="24"/>
          <w:szCs w:val="24"/>
          <w:lang w:val="ru-RU"/>
        </w:rPr>
        <w:t>закупівлі</w:t>
      </w:r>
      <w:proofErr w:type="spellEnd"/>
      <w:r>
        <w:rPr>
          <w:rFonts w:ascii="Times New Roman" w:eastAsia="Times New Roman" w:hAnsi="Times New Roman"/>
          <w:color w:val="1D1D1B"/>
          <w:sz w:val="24"/>
          <w:szCs w:val="24"/>
          <w:lang w:val="ru-RU"/>
        </w:rPr>
        <w:t xml:space="preserve"> </w:t>
      </w:r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shd w:val="clear" w:color="auto" w:fill="FFFFFF"/>
          <w:lang w:eastAsia="ru-RU"/>
        </w:rPr>
        <w:t xml:space="preserve">ДК 021:2015 – 79710000-4 — Охоронні послуги (Послуги фізичної охорони адміністративної будівлі та прилеглої території Головного </w:t>
      </w:r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shd w:val="clear" w:color="auto" w:fill="FFFFFF"/>
          <w:lang w:eastAsia="ru-RU"/>
        </w:rPr>
        <w:t xml:space="preserve">управління Державної казначейської служби України у Чернівецькій області за </w:t>
      </w:r>
      <w:proofErr w:type="spellStart"/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shd w:val="clear" w:color="auto" w:fill="FFFFFF"/>
          <w:lang w:eastAsia="ru-RU"/>
        </w:rPr>
        <w:t>адресою</w:t>
      </w:r>
      <w:proofErr w:type="spellEnd"/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shd w:val="clear" w:color="auto" w:fill="FFFFFF"/>
          <w:lang w:eastAsia="ru-RU"/>
        </w:rPr>
        <w:t xml:space="preserve">: м. Чернівці, вул. В. </w:t>
      </w:r>
      <w:proofErr w:type="spellStart"/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shd w:val="clear" w:color="auto" w:fill="FFFFFF"/>
          <w:lang w:eastAsia="ru-RU"/>
        </w:rPr>
        <w:t>Аксенина</w:t>
      </w:r>
      <w:proofErr w:type="spellEnd"/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shd w:val="clear" w:color="auto" w:fill="FFFFFF"/>
          <w:lang w:eastAsia="ru-RU"/>
        </w:rPr>
        <w:t>, 2Е, надання послуг по здійсненню внутрішньо-об’єктового пропускного режиму у приміщеннях та на території об’єкту, моніторинг сигналів тривог</w:t>
      </w:r>
      <w:r>
        <w:rPr>
          <w:rStyle w:val="a4"/>
          <w:rFonts w:ascii="Times New Roman" w:eastAsia="Times New Roman" w:hAnsi="Times New Roman"/>
          <w:b w:val="0"/>
          <w:bCs w:val="0"/>
          <w:color w:val="000000"/>
          <w:sz w:val="24"/>
          <w:szCs w:val="24"/>
          <w:shd w:val="clear" w:color="auto" w:fill="FFFFFF"/>
          <w:lang w:eastAsia="ru-RU"/>
        </w:rPr>
        <w:t>и з пристроїв тривожної сигналізації</w:t>
      </w:r>
      <w:r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 складає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</w:t>
      </w:r>
      <w:r>
        <w:rPr>
          <w:rFonts w:ascii="Times New Roman" w:eastAsia="Times New Roman" w:hAnsi="Times New Roman" w:cstheme="minorBidi"/>
          <w:b/>
          <w:bCs/>
          <w:sz w:val="24"/>
          <w:szCs w:val="24"/>
          <w:lang w:eastAsia="ru-RU"/>
        </w:rPr>
        <w:t>366127,</w:t>
      </w:r>
      <w:r>
        <w:rPr>
          <w:rFonts w:ascii="Times New Roman" w:eastAsia="Times New Roman" w:hAnsi="Times New Roman" w:cstheme="minorBidi"/>
          <w:b/>
          <w:bCs/>
          <w:sz w:val="24"/>
          <w:szCs w:val="24"/>
          <w:lang w:val="en-US" w:eastAsia="ru-RU"/>
        </w:rPr>
        <w:t xml:space="preserve">00 </w:t>
      </w:r>
      <w:r>
        <w:rPr>
          <w:rFonts w:ascii="Times New Roman" w:eastAsia="Times New Roman" w:hAnsi="Times New Roman" w:cstheme="minorBidi"/>
          <w:b/>
          <w:bCs/>
          <w:sz w:val="24"/>
          <w:szCs w:val="24"/>
          <w:lang w:eastAsia="ru-RU"/>
        </w:rPr>
        <w:t>г</w:t>
      </w:r>
      <w:r>
        <w:rPr>
          <w:rFonts w:ascii="Times New Roman" w:eastAsia="Times New Roman" w:hAnsi="Times New Roman" w:cstheme="minorBidi"/>
          <w:sz w:val="24"/>
          <w:szCs w:val="24"/>
          <w:lang w:eastAsia="ru-RU"/>
        </w:rPr>
        <w:t xml:space="preserve">рн.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відповідно до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річного кошторису на 202</w:t>
      </w:r>
      <w:r>
        <w:rPr>
          <w:rFonts w:ascii="Times New Roman" w:eastAsia="Times New Roman" w:hAnsi="Times New Roman"/>
          <w:sz w:val="24"/>
          <w:szCs w:val="24"/>
          <w:lang w:val="en-US" w:eastAsia="ru-RU"/>
        </w:rPr>
        <w:t>4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рік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та розрахунку до кошторису на 2024 рік.</w:t>
      </w:r>
    </w:p>
    <w:p w:rsidR="00FE0FB3" w:rsidRDefault="00FE0FB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FE0FB3" w:rsidRDefault="005B4E27">
      <w:pPr>
        <w:pStyle w:val="aa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Очікувана вартість предмета закупівлі:</w:t>
      </w:r>
      <w:r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 </w:t>
      </w:r>
      <w:r>
        <w:rPr>
          <w:rFonts w:ascii="OpenSans-Regular;Arial;sans-ser" w:eastAsia="Times New Roman" w:hAnsi="OpenSans-Regular;Arial;sans-ser"/>
          <w:b/>
          <w:bCs/>
          <w:color w:val="000000"/>
          <w:lang w:eastAsia="ru-RU"/>
        </w:rPr>
        <w:t>366127,</w:t>
      </w:r>
      <w:r>
        <w:rPr>
          <w:rFonts w:ascii="OpenSans-Regular;Arial;sans-ser" w:eastAsia="Times New Roman" w:hAnsi="OpenSans-Regular;Arial;sans-ser"/>
          <w:b/>
          <w:bCs/>
          <w:color w:val="000000"/>
          <w:lang w:val="en-US" w:eastAsia="ru-RU"/>
        </w:rPr>
        <w:t>00</w:t>
      </w:r>
      <w:r>
        <w:rPr>
          <w:rFonts w:ascii="Times New Roman" w:eastAsia="Times New Roman" w:hAnsi="Times New Roman"/>
          <w:b/>
          <w:bCs/>
          <w:color w:val="000000"/>
          <w:lang w:eastAsia="ru-RU"/>
        </w:rPr>
        <w:t xml:space="preserve"> грн з ПДВ.</w:t>
      </w:r>
    </w:p>
    <w:p w:rsidR="00FE0FB3" w:rsidRDefault="00FE0FB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E0FB3" w:rsidRDefault="005B4E27">
      <w:pPr>
        <w:pStyle w:val="aa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Обґрунтування очікуваної вартості предм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ета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закупівлі: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 w:firstLine="567"/>
        <w:jc w:val="both"/>
        <w:rPr>
          <w:sz w:val="26"/>
          <w:szCs w:val="26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Очікувана вартість предмета закупівлі визначена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відповідно до Методики визначення очікуваної вартості предмета закупівлі Головного управління Державної казначейської служби України у Чернівецькій області, затвердженої наказом Головного управління Державної казначейської служби України у Чернівецькій обл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асті від 05.06.2020 № 71. </w:t>
      </w:r>
    </w:p>
    <w:p w:rsidR="00FE0FB3" w:rsidRDefault="005B4E27">
      <w:pPr>
        <w:pStyle w:val="aa"/>
        <w:tabs>
          <w:tab w:val="left" w:pos="851"/>
        </w:tabs>
        <w:spacing w:after="0" w:line="240" w:lineRule="auto"/>
        <w:ind w:left="0" w:firstLine="567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При визначенні очікуваної вартості предмета закупівлі застосовувався метод порівняння ринкових цін, а саме: проводився збір та аналіз цінової інформації реального ринку товару шляхом направлення запиту цінових пропозицій, (в кіл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ькості не менше 3-ох)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охоронним фірмам. На підставі отриманих  цінових пропозицій від охоронних фірм було розраховано </w:t>
      </w:r>
      <w:r>
        <w:rPr>
          <w:rFonts w:ascii="Times New Roman" w:hAnsi="Times New Roman"/>
          <w:sz w:val="24"/>
          <w:szCs w:val="24"/>
        </w:rPr>
        <w:t xml:space="preserve"> очікувану ціну за людино-годину, як середнє арифметичне значення масиву отриманих даних, що розраховується за такою формулою:  </w:t>
      </w:r>
      <w:r>
        <w:rPr>
          <w:rFonts w:ascii="Times New Roman" w:hAnsi="Times New Roman"/>
          <w:sz w:val="26"/>
          <w:szCs w:val="26"/>
        </w:rPr>
        <w:t xml:space="preserve">          </w:t>
      </w:r>
      <w:r>
        <w:rPr>
          <w:rFonts w:ascii="Times New Roman" w:hAnsi="Times New Roman"/>
          <w:sz w:val="26"/>
          <w:szCs w:val="26"/>
        </w:rPr>
        <w:t xml:space="preserve">            </w:t>
      </w:r>
      <w:r>
        <w:rPr>
          <w:sz w:val="26"/>
          <w:szCs w:val="26"/>
        </w:rPr>
        <w:br/>
      </w:r>
      <w:proofErr w:type="spellStart"/>
      <w:r>
        <w:rPr>
          <w:b/>
          <w:bCs/>
          <w:sz w:val="24"/>
          <w:szCs w:val="24"/>
        </w:rPr>
        <w:t>Цод</w:t>
      </w:r>
      <w:proofErr w:type="spellEnd"/>
      <w:r>
        <w:rPr>
          <w:b/>
          <w:bCs/>
          <w:sz w:val="24"/>
          <w:szCs w:val="24"/>
        </w:rPr>
        <w:t xml:space="preserve"> = (Ц1, + ... + </w:t>
      </w:r>
      <w:proofErr w:type="spellStart"/>
      <w:r>
        <w:rPr>
          <w:b/>
          <w:bCs/>
          <w:sz w:val="24"/>
          <w:szCs w:val="24"/>
        </w:rPr>
        <w:t>Цк</w:t>
      </w:r>
      <w:proofErr w:type="spellEnd"/>
      <w:r>
        <w:rPr>
          <w:b/>
          <w:bCs/>
          <w:sz w:val="24"/>
          <w:szCs w:val="24"/>
        </w:rPr>
        <w:t xml:space="preserve">)/К,  </w:t>
      </w:r>
      <w:r>
        <w:rPr>
          <w:sz w:val="24"/>
          <w:szCs w:val="24"/>
        </w:rPr>
        <w:t>де:</w:t>
      </w:r>
    </w:p>
    <w:p w:rsidR="00FE0FB3" w:rsidRDefault="005B4E27">
      <w:pPr>
        <w:spacing w:after="0" w:line="240" w:lineRule="auto"/>
        <w:jc w:val="both"/>
      </w:pP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Ц</w:t>
      </w:r>
      <w:r>
        <w:rPr>
          <w:rFonts w:ascii="Times New Roman" w:eastAsia="Times New Roman" w:hAnsi="Times New Roman" w:cs="Times New Roman"/>
          <w:b/>
          <w:bCs/>
          <w:lang w:eastAsia="ru-RU"/>
        </w:rPr>
        <w:t>од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очікувана ціна за одиницю;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Ц1,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- цінові пропозиції , отримані від охоронних фірм, приведені до єдиних умов;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кількість цін, отриманих  від охоронних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фірм.       </w:t>
      </w:r>
    </w:p>
    <w:p w:rsidR="00FE0FB3" w:rsidRDefault="00FE0FB3">
      <w:pPr>
        <w:spacing w:after="0" w:line="240" w:lineRule="auto"/>
        <w:ind w:firstLine="567"/>
        <w:jc w:val="both"/>
      </w:pPr>
    </w:p>
    <w:sectPr w:rsidR="00FE0FB3">
      <w:pgSz w:w="11906" w:h="16838"/>
      <w:pgMar w:top="567" w:right="850" w:bottom="850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Sans-Regular;Arial;sans-s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B703F0"/>
    <w:multiLevelType w:val="multilevel"/>
    <w:tmpl w:val="75C0BBD0"/>
    <w:lvl w:ilvl="0">
      <w:start w:val="1"/>
      <w:numFmt w:val="decimal"/>
      <w:lvlText w:val="%1."/>
      <w:lvlJc w:val="left"/>
      <w:pPr>
        <w:ind w:left="786" w:hanging="360"/>
      </w:pPr>
      <w:rPr>
        <w:b/>
        <w:color w:val="000000"/>
        <w:sz w:val="24"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5B4113CC"/>
    <w:multiLevelType w:val="multilevel"/>
    <w:tmpl w:val="3F82EE2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FB3"/>
    <w:rsid w:val="005B4E27"/>
    <w:rsid w:val="00FE0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408D60-FD95-43B2-81BF-E42CBBE59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uk-U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5E3F"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uiPriority w:val="34"/>
    <w:qFormat/>
    <w:locked/>
    <w:rsid w:val="000B1F80"/>
    <w:rPr>
      <w:rFonts w:ascii="Calibri" w:eastAsia="Calibri" w:hAnsi="Calibri" w:cs="Times New Roman"/>
    </w:rPr>
  </w:style>
  <w:style w:type="character" w:customStyle="1" w:styleId="ListLabel1">
    <w:name w:val="ListLabel 1"/>
    <w:qFormat/>
    <w:rPr>
      <w:rFonts w:ascii="Times New Roman" w:hAnsi="Times New Roman"/>
      <w:b/>
      <w:color w:val="00000A"/>
      <w:sz w:val="24"/>
    </w:rPr>
  </w:style>
  <w:style w:type="character" w:customStyle="1" w:styleId="ListLabel2">
    <w:name w:val="ListLabel 2"/>
    <w:qFormat/>
    <w:rPr>
      <w:sz w:val="25"/>
      <w:szCs w:val="25"/>
    </w:rPr>
  </w:style>
  <w:style w:type="character" w:customStyle="1" w:styleId="ListLabel3">
    <w:name w:val="ListLabel 3"/>
    <w:qFormat/>
    <w:rPr>
      <w:rFonts w:ascii="Times New Roman" w:hAnsi="Times New Roman"/>
      <w:b/>
      <w:color w:val="00000A"/>
      <w:sz w:val="24"/>
    </w:rPr>
  </w:style>
  <w:style w:type="character" w:customStyle="1" w:styleId="ListLabel4">
    <w:name w:val="ListLabel 4"/>
    <w:qFormat/>
    <w:rPr>
      <w:b/>
      <w:color w:val="00000A"/>
      <w:sz w:val="26"/>
    </w:rPr>
  </w:style>
  <w:style w:type="character" w:customStyle="1" w:styleId="ListLabel5">
    <w:name w:val="ListLabel 5"/>
    <w:qFormat/>
    <w:rPr>
      <w:b/>
      <w:color w:val="00000A"/>
      <w:sz w:val="26"/>
    </w:rPr>
  </w:style>
  <w:style w:type="character" w:customStyle="1" w:styleId="ListLabel6">
    <w:name w:val="ListLabel 6"/>
    <w:qFormat/>
    <w:rPr>
      <w:b/>
      <w:color w:val="000000"/>
      <w:sz w:val="26"/>
    </w:rPr>
  </w:style>
  <w:style w:type="character" w:customStyle="1" w:styleId="ListLabel7">
    <w:name w:val="ListLabel 7"/>
    <w:qFormat/>
    <w:rPr>
      <w:b/>
      <w:color w:val="000000"/>
      <w:sz w:val="26"/>
    </w:rPr>
  </w:style>
  <w:style w:type="character" w:customStyle="1" w:styleId="ListLabel8">
    <w:name w:val="ListLabel 8"/>
    <w:qFormat/>
    <w:rPr>
      <w:b/>
      <w:color w:val="000000"/>
      <w:sz w:val="26"/>
    </w:rPr>
  </w:style>
  <w:style w:type="character" w:customStyle="1" w:styleId="ListLabel9">
    <w:name w:val="ListLabel 9"/>
    <w:qFormat/>
    <w:rPr>
      <w:b/>
      <w:color w:val="000000"/>
      <w:sz w:val="26"/>
    </w:rPr>
  </w:style>
  <w:style w:type="character" w:customStyle="1" w:styleId="a4">
    <w:name w:val="Выделение жирным"/>
    <w:qFormat/>
    <w:rPr>
      <w:b/>
      <w:bCs/>
    </w:rPr>
  </w:style>
  <w:style w:type="character" w:customStyle="1" w:styleId="ListLabel10">
    <w:name w:val="ListLabel 10"/>
    <w:qFormat/>
    <w:rPr>
      <w:b/>
      <w:color w:val="000000"/>
      <w:sz w:val="24"/>
    </w:rPr>
  </w:style>
  <w:style w:type="character" w:customStyle="1" w:styleId="ListLabel11">
    <w:name w:val="ListLabel 11"/>
    <w:qFormat/>
    <w:rPr>
      <w:b/>
      <w:color w:val="000000"/>
      <w:sz w:val="24"/>
    </w:rPr>
  </w:style>
  <w:style w:type="character" w:customStyle="1" w:styleId="ListLabel12">
    <w:name w:val="ListLabel 12"/>
    <w:qFormat/>
    <w:rPr>
      <w:b/>
      <w:color w:val="000000"/>
      <w:sz w:val="24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pPr>
      <w:spacing w:after="140" w:line="288" w:lineRule="auto"/>
    </w:p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9">
    <w:name w:val="Указатель"/>
    <w:basedOn w:val="a"/>
    <w:qFormat/>
    <w:pPr>
      <w:suppressLineNumbers/>
    </w:pPr>
    <w:rPr>
      <w:rFonts w:cs="Arial"/>
    </w:rPr>
  </w:style>
  <w:style w:type="paragraph" w:styleId="aa">
    <w:name w:val="List Paragraph"/>
    <w:basedOn w:val="a"/>
    <w:uiPriority w:val="34"/>
    <w:qFormat/>
    <w:rsid w:val="000B1F80"/>
    <w:pPr>
      <w:ind w:left="720"/>
      <w:contextualSpacing/>
    </w:pPr>
    <w:rPr>
      <w:rFonts w:ascii="Calibri" w:eastAsia="Calibri" w:hAnsi="Calibri" w:cs="Times New Roman"/>
    </w:rPr>
  </w:style>
  <w:style w:type="paragraph" w:styleId="ab">
    <w:name w:val="Normal (Web)"/>
    <w:basedOn w:val="a"/>
    <w:qFormat/>
    <w:pPr>
      <w:spacing w:beforeAutospacing="1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3124</Words>
  <Characters>1782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4897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dc:description/>
  <cp:lastModifiedBy>Турчинська Марина Олександрівна</cp:lastModifiedBy>
  <cp:revision>2</cp:revision>
  <cp:lastPrinted>2024-01-25T10:50:00Z</cp:lastPrinted>
  <dcterms:created xsi:type="dcterms:W3CDTF">2025-02-06T12:29:00Z</dcterms:created>
  <dcterms:modified xsi:type="dcterms:W3CDTF">2025-02-06T12:29:00Z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HP Inc.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