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FE" w:rsidRDefault="00A62BFE" w:rsidP="00F65A2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2BFE" w:rsidRPr="00204038" w:rsidRDefault="00A62BFE" w:rsidP="00A6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62BFE" w:rsidRPr="00204038" w:rsidRDefault="00A62BFE" w:rsidP="00A62BFE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Тернопільській області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 xml:space="preserve">46025, Україна, Тернопільська область, </w:t>
      </w:r>
      <w:proofErr w:type="spellStart"/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м.Тернопіль</w:t>
      </w:r>
      <w:proofErr w:type="spellEnd"/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бульв.Т</w:t>
      </w:r>
      <w:proofErr w:type="spellEnd"/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. ШЕВЧЕНКА, буд.39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37977599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A62BFE" w:rsidRPr="0055619C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>Природний газ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>ДК 021:2015:09120000-6: Газове паливо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2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62BFE" w:rsidRPr="00283443" w:rsidRDefault="00A62BFE" w:rsidP="00A62BFE">
      <w:pPr>
        <w:pStyle w:val="a5"/>
        <w:tabs>
          <w:tab w:val="left" w:pos="851"/>
        </w:tabs>
        <w:spacing w:after="12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>UA-2022-11-16-011543-a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A62BFE" w:rsidRDefault="00A62BFE" w:rsidP="00A62BF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</w:p>
    <w:p w:rsidR="00A62BFE" w:rsidRDefault="00A62BFE" w:rsidP="001362E7">
      <w:pPr>
        <w:spacing w:after="12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>Кількісною характеристикою предмета закуп</w:t>
      </w:r>
      <w:r w:rsidR="00035349">
        <w:rPr>
          <w:rFonts w:ascii="Times New Roman" w:eastAsia="Times New Roman" w:hAnsi="Times New Roman"/>
          <w:sz w:val="24"/>
          <w:szCs w:val="24"/>
          <w:lang w:eastAsia="ru-RU"/>
        </w:rPr>
        <w:t>івлі є обсяг споживання природн</w:t>
      </w:r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>ого газу. За о</w:t>
      </w:r>
      <w:r w:rsidR="00035349">
        <w:rPr>
          <w:rFonts w:ascii="Times New Roman" w:eastAsia="Times New Roman" w:hAnsi="Times New Roman"/>
          <w:sz w:val="24"/>
          <w:szCs w:val="24"/>
          <w:lang w:eastAsia="ru-RU"/>
        </w:rPr>
        <w:t>диницю виміру кількості природн</w:t>
      </w:r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газу приймається тисяча метрів кубічних, яка дорівнює кількості газу. Обсяг, необхідний для забезпечення діяльності та власних потреб об’єктів замовника, та враховуючи обсяги споживання </w:t>
      </w:r>
      <w:r w:rsidR="005A362C">
        <w:rPr>
          <w:rFonts w:ascii="Times New Roman" w:eastAsia="Times New Roman" w:hAnsi="Times New Roman"/>
          <w:sz w:val="24"/>
          <w:szCs w:val="24"/>
          <w:lang w:eastAsia="ru-RU"/>
        </w:rPr>
        <w:t>попереднього календарного року</w:t>
      </w:r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9 тис </w:t>
      </w:r>
      <w:proofErr w:type="spellStart"/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>м.куб</w:t>
      </w:r>
      <w:proofErr w:type="spellEnd"/>
      <w:r w:rsidRPr="00A62BFE">
        <w:rPr>
          <w:rFonts w:ascii="Times New Roman" w:eastAsia="Times New Roman" w:hAnsi="Times New Roman"/>
          <w:sz w:val="24"/>
          <w:szCs w:val="24"/>
          <w:lang w:eastAsia="ru-RU"/>
        </w:rPr>
        <w:t>.  на 01.01.2023 р. по 31.03.2023 (включно).</w:t>
      </w:r>
    </w:p>
    <w:p w:rsidR="001362E7" w:rsidRPr="00A62BFE" w:rsidRDefault="001362E7" w:rsidP="001362E7">
      <w:pPr>
        <w:spacing w:after="12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Якість та інші фізико-хімічні характеристики природного газу, що постачається повинна відповідати 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 Якість газу, що передається Споживачу, має відповідати вимогам, встановленим державними стандартами, технічними умовами, нормативно-технічними документами щодо його якості, відповідати значенню його фізико-хімічних показників встановленим нормативними документами.</w:t>
      </w:r>
    </w:p>
    <w:p w:rsidR="00A62BFE" w:rsidRPr="00204038" w:rsidRDefault="00A62BFE" w:rsidP="00A62BFE">
      <w:pPr>
        <w:pStyle w:val="a5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BFE" w:rsidRPr="001362E7" w:rsidRDefault="00A62BFE" w:rsidP="00E06148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="001362E7"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визначенні розміру бюджетного призначення враховано фактичний обсяг споживання в натуральних і вартісних показниках за аналогічні періоди 2021 - 2022 років та прогнозовані натуральні та вартісні показники на січень-березень 2023 року. </w:t>
      </w:r>
    </w:p>
    <w:p w:rsidR="00A62BFE" w:rsidRPr="00204038" w:rsidRDefault="00A62BFE" w:rsidP="00A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362E7" w:rsidRPr="001362E7">
        <w:rPr>
          <w:rFonts w:ascii="Times New Roman" w:eastAsia="Times New Roman" w:hAnsi="Times New Roman"/>
          <w:sz w:val="24"/>
          <w:szCs w:val="24"/>
          <w:lang w:eastAsia="ru-RU"/>
        </w:rPr>
        <w:t>148 985,01</w:t>
      </w:r>
      <w:r w:rsid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A62BFE" w:rsidRPr="00204038" w:rsidRDefault="00A62BFE" w:rsidP="00A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1362E7" w:rsidRPr="001362E7" w:rsidRDefault="001362E7" w:rsidP="001362E7">
      <w:pPr>
        <w:spacing w:after="12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 обумовлено методикою визначення очікуваної вартості предмета закупівлі, затверджено наказом Головного управління Державної казначейської служби України у Тернопільській області від 20.08.2020 № 150, якою передбачено Метод №3: Розрахунок очікуваної вартості товарів / послуг, щодо яких проводиться державне регулювання цін і тарифів. Очікувана вартість закупівлі товарів /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 / послуг та ціни (тарифу), затвердженої відповідним нормативно-правовим актом, що розраховується за такою формулою:</w:t>
      </w:r>
    </w:p>
    <w:p w:rsidR="001362E7" w:rsidRPr="001362E7" w:rsidRDefault="001362E7" w:rsidP="00136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ОВрег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 = V * </w:t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Цтар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362E7" w:rsidRPr="001362E7" w:rsidRDefault="001362E7" w:rsidP="00136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де:</w:t>
      </w: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ОВрег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—</w:t>
      </w: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очікувана вартість закупівлі товарів / послуг, щодо яких проводиться державне регулювання цін і тарифів;</w:t>
      </w:r>
    </w:p>
    <w:p w:rsidR="001362E7" w:rsidRPr="001362E7" w:rsidRDefault="001362E7" w:rsidP="00136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V</w:t>
      </w: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—</w:t>
      </w: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кількість (обсяг) товару / послуги, що закуповується;</w:t>
      </w:r>
    </w:p>
    <w:p w:rsidR="001362E7" w:rsidRPr="001362E7" w:rsidRDefault="001362E7" w:rsidP="00136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Цтар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—</w:t>
      </w: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ціна (тариф) за одиницю товару / послуги, затверджена відповідним нормативно-правовим актом.</w:t>
      </w:r>
    </w:p>
    <w:p w:rsidR="001362E7" w:rsidRPr="001362E7" w:rsidRDefault="001362E7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A362C">
        <w:rPr>
          <w:rFonts w:ascii="Times New Roman" w:eastAsia="Times New Roman" w:hAnsi="Times New Roman"/>
          <w:sz w:val="24"/>
          <w:szCs w:val="24"/>
          <w:lang w:eastAsia="ru-RU"/>
        </w:rPr>
        <w:t>ормативно-правове регулювання:</w:t>
      </w: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 України від 09.04.2015 № 329-VIII "Про ринок природного газу"; 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 2496</w:t>
      </w:r>
    </w:p>
    <w:p w:rsidR="001362E7" w:rsidRPr="001362E7" w:rsidRDefault="001362E7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19 липня  2022 року  прийнято постанову Кабінету Міністрів України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№ 839) (надалі- Положення).</w:t>
      </w:r>
    </w:p>
    <w:p w:rsidR="001362E7" w:rsidRPr="001362E7" w:rsidRDefault="001362E7" w:rsidP="00136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Пунктом 6 цього Положення визначено що ТОВ </w:t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“Газопостачальна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компанія </w:t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“Нафтогаз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Трейдинг”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постачає з 1 вересня 2022 р. по 31 березня 2023 р. (включно) природний газ бюджетним установам, 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:rsidR="001362E7" w:rsidRPr="001362E7" w:rsidRDefault="001362E7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Крім того, тариф на послуги транспортування природного газу для внутрішньої точки виходу з газотранспортної системи – 124,16 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грн., крім того ПДВ 20% - 27,315  грн., всього з ПДВ – 163,89 грн. за 1000 куб. м. </w:t>
      </w:r>
    </w:p>
    <w:p w:rsidR="00A62BFE" w:rsidRPr="001362E7" w:rsidRDefault="001362E7" w:rsidP="001362E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ab/>
        <w:t>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16 553,89 грн.</w:t>
      </w:r>
    </w:p>
    <w:p w:rsidR="001362E7" w:rsidRPr="001362E7" w:rsidRDefault="001362E7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Ціна за 1000 </w:t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куб.м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. природного газу = 16553,89 грн. з ПДВ.</w:t>
      </w:r>
    </w:p>
    <w:p w:rsidR="001362E7" w:rsidRPr="001362E7" w:rsidRDefault="001362E7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 xml:space="preserve">Обсяг закупівлі = 9 тис. </w:t>
      </w:r>
      <w:proofErr w:type="spellStart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куб.м</w:t>
      </w:r>
      <w:proofErr w:type="spellEnd"/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62E7" w:rsidRPr="001362E7" w:rsidRDefault="001362E7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= 16553,89 * 9 = 148 985,01 грн. з ПДВ.</w:t>
      </w:r>
    </w:p>
    <w:p w:rsidR="00C33D88" w:rsidRPr="001362E7" w:rsidRDefault="001362E7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2E7">
        <w:rPr>
          <w:rFonts w:ascii="Times New Roman" w:eastAsia="Times New Roman" w:hAnsi="Times New Roman"/>
          <w:sz w:val="24"/>
          <w:szCs w:val="24"/>
          <w:lang w:eastAsia="ru-RU"/>
        </w:rPr>
        <w:t>Таким чином, очікувана вартість предмета закупівлі природний газ (Код ДК 021:2015-09120000-6 Газове паливо) на січень-березень 2023 року становить 148 985,01  грн. з ПДВ.</w:t>
      </w:r>
    </w:p>
    <w:sectPr w:rsidR="00C33D88" w:rsidRPr="001362E7" w:rsidSect="00650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7092"/>
    <w:rsid w:val="00035349"/>
    <w:rsid w:val="0013332E"/>
    <w:rsid w:val="001362E7"/>
    <w:rsid w:val="00150365"/>
    <w:rsid w:val="00171A09"/>
    <w:rsid w:val="00242DEB"/>
    <w:rsid w:val="002904FA"/>
    <w:rsid w:val="002C50B3"/>
    <w:rsid w:val="003130BE"/>
    <w:rsid w:val="00316EC5"/>
    <w:rsid w:val="004537D3"/>
    <w:rsid w:val="004D6995"/>
    <w:rsid w:val="00557EBD"/>
    <w:rsid w:val="005A362C"/>
    <w:rsid w:val="005F4B77"/>
    <w:rsid w:val="0062346F"/>
    <w:rsid w:val="00650654"/>
    <w:rsid w:val="00726347"/>
    <w:rsid w:val="007F56F8"/>
    <w:rsid w:val="008D7092"/>
    <w:rsid w:val="00993ECF"/>
    <w:rsid w:val="009B4F2E"/>
    <w:rsid w:val="00A62BFE"/>
    <w:rsid w:val="00B020E9"/>
    <w:rsid w:val="00C33D88"/>
    <w:rsid w:val="00C91B22"/>
    <w:rsid w:val="00C9620B"/>
    <w:rsid w:val="00CA657A"/>
    <w:rsid w:val="00E06148"/>
    <w:rsid w:val="00E27DDA"/>
    <w:rsid w:val="00EA5F78"/>
    <w:rsid w:val="00F47737"/>
    <w:rsid w:val="00F65A29"/>
    <w:rsid w:val="00F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List Paragraph"/>
    <w:basedOn w:val="a"/>
    <w:link w:val="a6"/>
    <w:uiPriority w:val="34"/>
    <w:qFormat/>
    <w:rsid w:val="00A62BF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62BF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2800-polishukm</cp:lastModifiedBy>
  <cp:revision>2</cp:revision>
  <dcterms:created xsi:type="dcterms:W3CDTF">2022-12-05T16:10:00Z</dcterms:created>
  <dcterms:modified xsi:type="dcterms:W3CDTF">2022-12-05T16:10:00Z</dcterms:modified>
</cp:coreProperties>
</file>