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CB" w:rsidRPr="008218CB" w:rsidRDefault="008218CB" w:rsidP="00A84A76">
      <w:pPr>
        <w:pStyle w:val="a5"/>
        <w:spacing w:before="120" w:beforeAutospacing="0" w:after="120" w:afterAutospacing="0"/>
        <w:jc w:val="center"/>
      </w:pPr>
      <w:r w:rsidRPr="008218CB">
        <w:rPr>
          <w:b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Pr="008218CB">
        <w:t>(відповідно до пункту 41 постанови КМУ від 11.10.2016 № 710 «Про ефективне використання державних коштів» (зі змінами))</w:t>
      </w:r>
    </w:p>
    <w:p w:rsidR="008218CB" w:rsidRPr="000F79AF" w:rsidRDefault="008218CB" w:rsidP="000F79A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0F79AF">
        <w:rPr>
          <w:b/>
          <w:sz w:val="26"/>
          <w:szCs w:val="26"/>
        </w:rPr>
        <w:t>1.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84A76" w:rsidRDefault="00A84A76" w:rsidP="000F79A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F79AF">
        <w:rPr>
          <w:bCs/>
          <w:sz w:val="26"/>
          <w:szCs w:val="26"/>
          <w:lang w:eastAsia="ru-RU"/>
        </w:rPr>
        <w:tab/>
        <w:t>72250000-2-</w:t>
      </w:r>
      <w:r w:rsidRPr="000F79AF">
        <w:rPr>
          <w:sz w:val="26"/>
          <w:szCs w:val="26"/>
        </w:rPr>
        <w:t>Послуги, пов’язані із системами та підтримкою (Послуги з подовження строку дії технічної та сервісної підтримки програмного забезпечення АСКОД).</w:t>
      </w:r>
    </w:p>
    <w:p w:rsidR="000F79AF" w:rsidRPr="000F79AF" w:rsidRDefault="000F79AF" w:rsidP="000F79A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9AF" w:rsidRPr="000F79AF" w:rsidRDefault="000F79AF" w:rsidP="000F79A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0F79AF">
        <w:rPr>
          <w:b/>
          <w:sz w:val="26"/>
          <w:szCs w:val="26"/>
        </w:rPr>
        <w:t>2. Ідентифікатор закупівлі:</w:t>
      </w:r>
    </w:p>
    <w:p w:rsidR="000F79AF" w:rsidRDefault="00176DB7" w:rsidP="000F79AF">
      <w:pPr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ab/>
      </w:r>
      <w:r w:rsidRPr="00176DB7">
        <w:rPr>
          <w:bCs/>
          <w:sz w:val="26"/>
          <w:szCs w:val="26"/>
          <w:lang w:eastAsia="ru-RU"/>
        </w:rPr>
        <w:t>UA-2022-10-06-009780-a</w:t>
      </w:r>
    </w:p>
    <w:p w:rsidR="00176DB7" w:rsidRPr="000F79AF" w:rsidRDefault="00176DB7" w:rsidP="000F79AF">
      <w:pPr>
        <w:rPr>
          <w:b/>
          <w:sz w:val="26"/>
          <w:szCs w:val="26"/>
        </w:rPr>
      </w:pPr>
    </w:p>
    <w:p w:rsidR="000F79AF" w:rsidRPr="000F79AF" w:rsidRDefault="000F79AF" w:rsidP="000F79AF">
      <w:pPr>
        <w:rPr>
          <w:b/>
          <w:sz w:val="26"/>
          <w:szCs w:val="26"/>
        </w:rPr>
      </w:pPr>
      <w:r w:rsidRPr="000F79AF">
        <w:rPr>
          <w:b/>
          <w:sz w:val="26"/>
          <w:szCs w:val="26"/>
        </w:rPr>
        <w:t>3. Обґрунтування технічних та якісних характеристик предмета закупівлі:</w:t>
      </w:r>
    </w:p>
    <w:p w:rsidR="000F79AF" w:rsidRPr="000F79AF" w:rsidRDefault="000F79AF" w:rsidP="000F79AF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  <w:lang w:eastAsia="ru-RU"/>
        </w:rPr>
      </w:pPr>
      <w:r w:rsidRPr="000F79AF">
        <w:rPr>
          <w:bCs/>
          <w:sz w:val="26"/>
          <w:szCs w:val="26"/>
          <w:lang w:eastAsia="ru-RU"/>
        </w:rPr>
        <w:t>Метою надання послуг є забезпечення належного функціонування централізованої системи електронного документообігу, побудованої на основі базового ліцензійного програмного забезпечення системи електронного документообігу АСКОД (далі – СЕД).</w:t>
      </w:r>
    </w:p>
    <w:p w:rsidR="000F79AF" w:rsidRPr="000F79AF" w:rsidRDefault="000F79AF" w:rsidP="000F79AF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  <w:lang w:eastAsia="ru-RU"/>
        </w:rPr>
      </w:pPr>
      <w:r w:rsidRPr="000F79AF">
        <w:rPr>
          <w:bCs/>
          <w:sz w:val="26"/>
          <w:szCs w:val="26"/>
          <w:lang w:eastAsia="ru-RU"/>
        </w:rPr>
        <w:t>Застосування комп'ютерних інформаційних технологій на всіх рівнях управлінської діяльності та міжвідомчого обміну електронними документами, розвиток та інтеграція системи електронного документообігу, забезпечення документування управлінської інформації в електронній формі державних органів шляхом використання системи електронного документообігу та Системи електронної взаємодії органів виконавчої влади. Підвищення оперативності та ефективності у вирішенні поставлених перед органами влади завдань у розрізі роботи із документами за рахунок прискорення та оптимізації внутрішніх процесів діловодства, посилення виконавської дисципліни та відповідного поточного контролю за нею, зміцнення інформаційно-аналітичної підтримки прийняття управлінських рішень, підвищення відкритості та прозорості діяльності цих органів.</w:t>
      </w:r>
    </w:p>
    <w:p w:rsidR="000F79AF" w:rsidRPr="000F79AF" w:rsidRDefault="000F79AF" w:rsidP="000F79AF">
      <w:pPr>
        <w:rPr>
          <w:sz w:val="26"/>
          <w:szCs w:val="26"/>
        </w:rPr>
      </w:pPr>
    </w:p>
    <w:p w:rsidR="000F79AF" w:rsidRPr="000F79AF" w:rsidRDefault="000F79AF" w:rsidP="000F79AF">
      <w:pPr>
        <w:rPr>
          <w:sz w:val="26"/>
          <w:szCs w:val="26"/>
        </w:rPr>
      </w:pPr>
      <w:r w:rsidRPr="000F79AF">
        <w:rPr>
          <w:b/>
          <w:sz w:val="26"/>
          <w:szCs w:val="26"/>
        </w:rPr>
        <w:t>4. Обґрунтування розміру бюджетного призначення:</w:t>
      </w:r>
      <w:r w:rsidRPr="000F79AF">
        <w:rPr>
          <w:sz w:val="26"/>
          <w:szCs w:val="26"/>
        </w:rPr>
        <w:t xml:space="preserve"> </w:t>
      </w:r>
    </w:p>
    <w:p w:rsidR="000F79AF" w:rsidRPr="000F79AF" w:rsidRDefault="000F79AF" w:rsidP="000F79AF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  <w:lang w:eastAsia="ru-RU"/>
        </w:rPr>
      </w:pPr>
      <w:r w:rsidRPr="000F79AF">
        <w:rPr>
          <w:bCs/>
          <w:sz w:val="26"/>
          <w:szCs w:val="26"/>
          <w:lang w:eastAsia="ru-RU"/>
        </w:rPr>
        <w:t xml:space="preserve">Розмір бюджетного призначення для предмета закупівлі ««72250000-2 – Послуги, пов’язані із системами та підтримкою (Послуги з подовження строку дії технічної та сервісної підтримки програмного забезпечення АСКОД)» відповідає розрахунку видатків до кошторису Казначейства на 2022 рік за КПКВК 3504010 «Керівництво та управління у сфері казначейського обслуговування». </w:t>
      </w:r>
    </w:p>
    <w:p w:rsidR="000F79AF" w:rsidRPr="000F79AF" w:rsidRDefault="000F79AF" w:rsidP="000F79AF">
      <w:pPr>
        <w:rPr>
          <w:sz w:val="26"/>
          <w:szCs w:val="26"/>
        </w:rPr>
      </w:pPr>
    </w:p>
    <w:p w:rsidR="000F79AF" w:rsidRPr="000F79AF" w:rsidRDefault="000F79AF" w:rsidP="000F79AF">
      <w:pPr>
        <w:rPr>
          <w:b/>
          <w:sz w:val="26"/>
          <w:szCs w:val="26"/>
        </w:rPr>
      </w:pPr>
      <w:r w:rsidRPr="000F79AF">
        <w:rPr>
          <w:b/>
          <w:sz w:val="26"/>
          <w:szCs w:val="26"/>
        </w:rPr>
        <w:t xml:space="preserve">5. Обґрунтування очікуваної вартості предмета закупівлі: </w:t>
      </w:r>
    </w:p>
    <w:p w:rsidR="004507E8" w:rsidRPr="000F79AF" w:rsidRDefault="00176DB7" w:rsidP="00176DB7">
      <w:pPr>
        <w:pStyle w:val="a3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</w:t>
      </w:r>
      <w:r w:rsidR="000F79AF" w:rsidRPr="000F79AF">
        <w:rPr>
          <w:bCs/>
          <w:sz w:val="26"/>
          <w:szCs w:val="26"/>
          <w:lang w:eastAsia="ru-RU"/>
        </w:rPr>
        <w:t>чікувана вартість предмета «72250000-2 – Послуги, пов’язані із системами та підтримкою (Послуги з подовження строку дії технічної та сервісної підтримки програмного забезпечення АСКОД)»</w:t>
      </w:r>
      <w:r>
        <w:rPr>
          <w:bCs/>
          <w:sz w:val="26"/>
          <w:szCs w:val="26"/>
          <w:lang w:eastAsia="ru-RU"/>
        </w:rPr>
        <w:t xml:space="preserve"> сформована </w:t>
      </w:r>
      <w:r w:rsidRPr="00176DB7">
        <w:rPr>
          <w:bCs/>
          <w:sz w:val="26"/>
          <w:szCs w:val="26"/>
          <w:lang w:eastAsia="ru-RU"/>
        </w:rPr>
        <w:t>відповідно до Методики</w:t>
      </w:r>
      <w:r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t>визначення очікуваної вартості предмета закупівлі Державної казначейської</w:t>
      </w:r>
      <w:r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t>служби України, затвердженої наказом Державної казначейської служби</w:t>
      </w:r>
      <w:r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t>України від 12.05.2020 №125 та розробленої на основі Примірної методики</w:t>
      </w:r>
      <w:r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t>визначення очікуваної вартості предмета закупівлі, затвердженої наказом</w:t>
      </w:r>
      <w:r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t>Міністерства розвитку економіки, торгівлі та сільського господарства України</w:t>
      </w:r>
      <w:r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t>від 18.02.2020 № 275</w:t>
      </w:r>
      <w:r>
        <w:rPr>
          <w:bCs/>
          <w:sz w:val="26"/>
          <w:szCs w:val="26"/>
          <w:lang w:eastAsia="ru-RU"/>
        </w:rPr>
        <w:t xml:space="preserve">, </w:t>
      </w:r>
      <w:r w:rsidRPr="00176DB7">
        <w:rPr>
          <w:bCs/>
          <w:sz w:val="26"/>
          <w:szCs w:val="26"/>
          <w:lang w:eastAsia="ru-RU"/>
        </w:rPr>
        <w:t>порівняльн</w:t>
      </w:r>
      <w:r>
        <w:rPr>
          <w:bCs/>
          <w:sz w:val="26"/>
          <w:szCs w:val="26"/>
          <w:lang w:eastAsia="ru-RU"/>
        </w:rPr>
        <w:t>ого</w:t>
      </w:r>
      <w:r w:rsidRPr="00176DB7">
        <w:rPr>
          <w:bCs/>
          <w:sz w:val="26"/>
          <w:szCs w:val="26"/>
          <w:lang w:eastAsia="ru-RU"/>
        </w:rPr>
        <w:t xml:space="preserve"> аналіз</w:t>
      </w:r>
      <w:r>
        <w:rPr>
          <w:bCs/>
          <w:sz w:val="26"/>
          <w:szCs w:val="26"/>
          <w:lang w:eastAsia="ru-RU"/>
        </w:rPr>
        <w:t>у</w:t>
      </w:r>
      <w:r w:rsidRPr="00176DB7"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lastRenderedPageBreak/>
        <w:t>переговорних процедур щодо</w:t>
      </w:r>
      <w:r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t>надання аналогічних послуг з технічної та сервісної підтримки програмного</w:t>
      </w:r>
      <w:r>
        <w:rPr>
          <w:bCs/>
          <w:sz w:val="26"/>
          <w:szCs w:val="26"/>
          <w:lang w:eastAsia="ru-RU"/>
        </w:rPr>
        <w:t xml:space="preserve"> </w:t>
      </w:r>
      <w:r w:rsidRPr="00176DB7">
        <w:rPr>
          <w:bCs/>
          <w:sz w:val="26"/>
          <w:szCs w:val="26"/>
          <w:lang w:eastAsia="ru-RU"/>
        </w:rPr>
        <w:t>забезпечення АСКОД в електронній системі закупівель PROZORRO</w:t>
      </w:r>
      <w:r>
        <w:rPr>
          <w:bCs/>
          <w:sz w:val="26"/>
          <w:szCs w:val="26"/>
          <w:lang w:eastAsia="ru-RU"/>
        </w:rPr>
        <w:t xml:space="preserve"> та </w:t>
      </w:r>
      <w:r w:rsidR="000F79AF" w:rsidRPr="000F79AF">
        <w:rPr>
          <w:bCs/>
          <w:sz w:val="26"/>
          <w:szCs w:val="26"/>
          <w:lang w:eastAsia="ru-RU"/>
        </w:rPr>
        <w:t>становить 1</w:t>
      </w:r>
      <w:r w:rsidR="00EF6419">
        <w:rPr>
          <w:bCs/>
          <w:sz w:val="26"/>
          <w:szCs w:val="26"/>
          <w:lang w:eastAsia="ru-RU"/>
        </w:rPr>
        <w:t xml:space="preserve"> 000 </w:t>
      </w:r>
      <w:r w:rsidR="000F79AF" w:rsidRPr="000F79AF">
        <w:rPr>
          <w:bCs/>
          <w:sz w:val="26"/>
          <w:szCs w:val="26"/>
          <w:lang w:eastAsia="ru-RU"/>
        </w:rPr>
        <w:t>000,00 грн</w:t>
      </w:r>
      <w:r w:rsidR="000F79AF">
        <w:rPr>
          <w:bCs/>
          <w:sz w:val="26"/>
          <w:szCs w:val="26"/>
          <w:lang w:eastAsia="ru-RU"/>
        </w:rPr>
        <w:t>.</w:t>
      </w:r>
      <w:r w:rsidR="000F79AF" w:rsidRPr="000F79AF">
        <w:rPr>
          <w:bCs/>
          <w:sz w:val="26"/>
          <w:szCs w:val="26"/>
          <w:lang w:eastAsia="ru-RU"/>
        </w:rPr>
        <w:t xml:space="preserve"> без ПДВ</w:t>
      </w:r>
      <w:r>
        <w:rPr>
          <w:bCs/>
          <w:sz w:val="26"/>
          <w:szCs w:val="26"/>
          <w:lang w:eastAsia="ru-RU"/>
        </w:rPr>
        <w:t xml:space="preserve"> та </w:t>
      </w:r>
      <w:r w:rsidR="000F79AF" w:rsidRPr="000F79AF">
        <w:rPr>
          <w:bCs/>
          <w:sz w:val="26"/>
          <w:szCs w:val="26"/>
          <w:lang w:eastAsia="ru-RU"/>
        </w:rPr>
        <w:t>відповідає розміру бюджетного призначення.</w:t>
      </w:r>
      <w:bookmarkStart w:id="0" w:name="_GoBack"/>
      <w:bookmarkEnd w:id="0"/>
    </w:p>
    <w:sectPr w:rsidR="004507E8" w:rsidRPr="000F79AF" w:rsidSect="0058474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52" w:rsidRDefault="00CE5A52" w:rsidP="00584742">
      <w:r>
        <w:separator/>
      </w:r>
    </w:p>
  </w:endnote>
  <w:endnote w:type="continuationSeparator" w:id="0">
    <w:p w:rsidR="00CE5A52" w:rsidRDefault="00CE5A52" w:rsidP="0058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52" w:rsidRDefault="00CE5A52" w:rsidP="00584742">
      <w:r>
        <w:separator/>
      </w:r>
    </w:p>
  </w:footnote>
  <w:footnote w:type="continuationSeparator" w:id="0">
    <w:p w:rsidR="00CE5A52" w:rsidRDefault="00CE5A52" w:rsidP="00584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006002"/>
      <w:docPartObj>
        <w:docPartGallery w:val="Page Numbers (Top of Page)"/>
        <w:docPartUnique/>
      </w:docPartObj>
    </w:sdtPr>
    <w:sdtContent>
      <w:p w:rsidR="00584742" w:rsidRDefault="004A03DE">
        <w:pPr>
          <w:pStyle w:val="a4"/>
          <w:jc w:val="center"/>
        </w:pPr>
        <w:r>
          <w:fldChar w:fldCharType="begin"/>
        </w:r>
        <w:r w:rsidR="00584742">
          <w:instrText>PAGE   \* MERGEFORMAT</w:instrText>
        </w:r>
        <w:r>
          <w:fldChar w:fldCharType="separate"/>
        </w:r>
        <w:r w:rsidR="00A200DC">
          <w:rPr>
            <w:noProof/>
          </w:rPr>
          <w:t>2</w:t>
        </w:r>
        <w:r>
          <w:fldChar w:fldCharType="end"/>
        </w:r>
      </w:p>
    </w:sdtContent>
  </w:sdt>
  <w:p w:rsidR="00584742" w:rsidRDefault="005847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CF9"/>
    <w:multiLevelType w:val="hybridMultilevel"/>
    <w:tmpl w:val="44E8D464"/>
    <w:lvl w:ilvl="0" w:tplc="BA04CFA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05307"/>
    <w:multiLevelType w:val="hybridMultilevel"/>
    <w:tmpl w:val="2F565D4C"/>
    <w:lvl w:ilvl="0" w:tplc="58481760">
      <w:numFmt w:val="bullet"/>
      <w:lvlText w:val="-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4213B0"/>
    <w:multiLevelType w:val="hybridMultilevel"/>
    <w:tmpl w:val="44E8D464"/>
    <w:lvl w:ilvl="0" w:tplc="BA04CFA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A3217"/>
    <w:multiLevelType w:val="hybridMultilevel"/>
    <w:tmpl w:val="44E8D464"/>
    <w:lvl w:ilvl="0" w:tplc="BA04CFA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79B"/>
    <w:multiLevelType w:val="hybridMultilevel"/>
    <w:tmpl w:val="660417B4"/>
    <w:lvl w:ilvl="0" w:tplc="DC0E83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A21A2B"/>
    <w:multiLevelType w:val="hybridMultilevel"/>
    <w:tmpl w:val="26F6366E"/>
    <w:lvl w:ilvl="0" w:tplc="6B6C90BC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D067A"/>
    <w:multiLevelType w:val="hybridMultilevel"/>
    <w:tmpl w:val="5A6A2B84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B24"/>
    <w:rsid w:val="00017710"/>
    <w:rsid w:val="00027315"/>
    <w:rsid w:val="000520FD"/>
    <w:rsid w:val="00074121"/>
    <w:rsid w:val="000A56BF"/>
    <w:rsid w:val="000B5B68"/>
    <w:rsid w:val="000F79AF"/>
    <w:rsid w:val="00107758"/>
    <w:rsid w:val="00122BD5"/>
    <w:rsid w:val="0013391E"/>
    <w:rsid w:val="001513DC"/>
    <w:rsid w:val="00176DB7"/>
    <w:rsid w:val="001C4987"/>
    <w:rsid w:val="00236731"/>
    <w:rsid w:val="00241659"/>
    <w:rsid w:val="00310C40"/>
    <w:rsid w:val="00325B24"/>
    <w:rsid w:val="0036493F"/>
    <w:rsid w:val="003B5E92"/>
    <w:rsid w:val="00430A20"/>
    <w:rsid w:val="004434E3"/>
    <w:rsid w:val="004507E8"/>
    <w:rsid w:val="004A03DE"/>
    <w:rsid w:val="004A0B09"/>
    <w:rsid w:val="004A73D2"/>
    <w:rsid w:val="00584742"/>
    <w:rsid w:val="005E5AC0"/>
    <w:rsid w:val="00601307"/>
    <w:rsid w:val="00602463"/>
    <w:rsid w:val="00655FA8"/>
    <w:rsid w:val="00663884"/>
    <w:rsid w:val="006968D2"/>
    <w:rsid w:val="006A44EB"/>
    <w:rsid w:val="0077483B"/>
    <w:rsid w:val="00803782"/>
    <w:rsid w:val="008218CB"/>
    <w:rsid w:val="008272A6"/>
    <w:rsid w:val="00832A47"/>
    <w:rsid w:val="0088433F"/>
    <w:rsid w:val="00923EB9"/>
    <w:rsid w:val="009D714A"/>
    <w:rsid w:val="00A200DC"/>
    <w:rsid w:val="00A23ED9"/>
    <w:rsid w:val="00A51A23"/>
    <w:rsid w:val="00A759BC"/>
    <w:rsid w:val="00A84A76"/>
    <w:rsid w:val="00AA0F28"/>
    <w:rsid w:val="00AA478D"/>
    <w:rsid w:val="00AB7269"/>
    <w:rsid w:val="00AC4469"/>
    <w:rsid w:val="00AD2B75"/>
    <w:rsid w:val="00AE1A3E"/>
    <w:rsid w:val="00B32AB5"/>
    <w:rsid w:val="00BF07A4"/>
    <w:rsid w:val="00C50E97"/>
    <w:rsid w:val="00C953A5"/>
    <w:rsid w:val="00CE5A52"/>
    <w:rsid w:val="00CF5011"/>
    <w:rsid w:val="00D53A9B"/>
    <w:rsid w:val="00D74C7D"/>
    <w:rsid w:val="00DC5EA4"/>
    <w:rsid w:val="00DD0586"/>
    <w:rsid w:val="00DD63B7"/>
    <w:rsid w:val="00DE7D3F"/>
    <w:rsid w:val="00E50A80"/>
    <w:rsid w:val="00EC53D9"/>
    <w:rsid w:val="00EF6419"/>
    <w:rsid w:val="00F51F74"/>
    <w:rsid w:val="00F91595"/>
    <w:rsid w:val="00F9194F"/>
    <w:rsid w:val="00FB05D5"/>
    <w:rsid w:val="00FB484D"/>
    <w:rsid w:val="00FD5781"/>
    <w:rsid w:val="00FE3467"/>
    <w:rsid w:val="00FE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24"/>
    <w:pPr>
      <w:spacing w:after="0" w:line="240" w:lineRule="auto"/>
    </w:pPr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">
    <w:name w:val="a5"/>
    <w:basedOn w:val="a"/>
    <w:rsid w:val="00325B24"/>
    <w:pPr>
      <w:spacing w:before="100" w:beforeAutospacing="1" w:after="100" w:afterAutospacing="1"/>
    </w:pPr>
  </w:style>
  <w:style w:type="paragraph" w:customStyle="1" w:styleId="a3">
    <w:name w:val="a"/>
    <w:basedOn w:val="a"/>
    <w:rsid w:val="00325B24"/>
    <w:pPr>
      <w:spacing w:before="100" w:beforeAutospacing="1" w:after="100" w:afterAutospacing="1"/>
    </w:pPr>
  </w:style>
  <w:style w:type="character" w:customStyle="1" w:styleId="12">
    <w:name w:val="ОТ_Дог_12 Знак"/>
    <w:link w:val="120"/>
    <w:locked/>
    <w:rsid w:val="00325B24"/>
    <w:rPr>
      <w:sz w:val="24"/>
      <w:szCs w:val="24"/>
      <w:lang w:eastAsia="ru-RU"/>
    </w:rPr>
  </w:style>
  <w:style w:type="paragraph" w:customStyle="1" w:styleId="120">
    <w:name w:val="ОТ_Дог_12"/>
    <w:basedOn w:val="a"/>
    <w:link w:val="12"/>
    <w:rsid w:val="00325B24"/>
    <w:pPr>
      <w:widowControl w:val="0"/>
      <w:autoSpaceDE w:val="0"/>
      <w:autoSpaceDN w:val="0"/>
      <w:adjustRightInd w:val="0"/>
      <w:ind w:firstLine="567"/>
      <w:jc w:val="both"/>
    </w:pPr>
    <w:rPr>
      <w:rFonts w:eastAsiaTheme="minorHAnsi"/>
      <w:lang w:eastAsia="ru-RU"/>
    </w:rPr>
  </w:style>
  <w:style w:type="paragraph" w:styleId="a4">
    <w:name w:val="header"/>
    <w:basedOn w:val="a"/>
    <w:link w:val="a6"/>
    <w:uiPriority w:val="99"/>
    <w:unhideWhenUsed/>
    <w:rsid w:val="00584742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584742"/>
    <w:rPr>
      <w:rFonts w:eastAsia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584742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4742"/>
    <w:rPr>
      <w:rFonts w:eastAsia="Times New Roman"/>
      <w:sz w:val="24"/>
      <w:szCs w:val="24"/>
      <w:lang w:eastAsia="uk-UA"/>
    </w:rPr>
  </w:style>
  <w:style w:type="character" w:styleId="a9">
    <w:name w:val="Hyperlink"/>
    <w:rsid w:val="00A84A76"/>
    <w:rPr>
      <w:color w:val="0000FF"/>
      <w:u w:val="single"/>
    </w:rPr>
  </w:style>
  <w:style w:type="table" w:styleId="aa">
    <w:name w:val="Table Grid"/>
    <w:basedOn w:val="a1"/>
    <w:uiPriority w:val="39"/>
    <w:rsid w:val="0060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21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2800-polishukm</cp:lastModifiedBy>
  <cp:revision>2</cp:revision>
  <dcterms:created xsi:type="dcterms:W3CDTF">2022-10-24T13:49:00Z</dcterms:created>
  <dcterms:modified xsi:type="dcterms:W3CDTF">2022-10-24T13:49:00Z</dcterms:modified>
</cp:coreProperties>
</file>