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EA" w:rsidRDefault="000E4B83" w:rsidP="000E4B83">
      <w:pPr>
        <w:pStyle w:val="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0E4B83" w:rsidRPr="000E4B83" w:rsidRDefault="000E4B83" w:rsidP="000E4B83">
      <w:pPr>
        <w:pStyle w:val="10"/>
        <w:rPr>
          <w:rFonts w:ascii="Times New Roman" w:hAnsi="Times New Roman"/>
          <w:b/>
          <w:sz w:val="28"/>
          <w:szCs w:val="28"/>
          <w:lang w:val="uk-UA"/>
        </w:rPr>
      </w:pPr>
    </w:p>
    <w:p w:rsidR="008772A6" w:rsidRPr="00A92B17" w:rsidRDefault="005634CE" w:rsidP="008772A6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687D43" w:rsidRPr="00A92B17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E073F9" w:rsidRDefault="008772A6" w:rsidP="008772A6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B4322D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8772A6" w:rsidRPr="00A92B17" w:rsidRDefault="00E073F9" w:rsidP="008772A6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687D43" w:rsidRPr="00A92B17">
        <w:rPr>
          <w:rFonts w:ascii="Times New Roman" w:hAnsi="Times New Roman"/>
          <w:sz w:val="28"/>
          <w:szCs w:val="28"/>
          <w:lang w:val="uk-UA"/>
        </w:rPr>
        <w:t>Наказ Державної</w:t>
      </w:r>
      <w:r w:rsidR="008772A6" w:rsidRPr="00A92B17">
        <w:rPr>
          <w:rFonts w:ascii="Times New Roman" w:hAnsi="Times New Roman"/>
          <w:sz w:val="28"/>
          <w:szCs w:val="28"/>
          <w:lang w:val="uk-UA"/>
        </w:rPr>
        <w:t xml:space="preserve"> казначейської</w:t>
      </w:r>
    </w:p>
    <w:p w:rsidR="00687D43" w:rsidRPr="00A92B17" w:rsidRDefault="008772A6" w:rsidP="008772A6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D43" w:rsidRPr="00A92B17">
        <w:rPr>
          <w:rFonts w:ascii="Times New Roman" w:hAnsi="Times New Roman"/>
          <w:sz w:val="28"/>
          <w:szCs w:val="28"/>
          <w:lang w:val="uk-UA"/>
        </w:rPr>
        <w:t>служби України</w:t>
      </w:r>
    </w:p>
    <w:p w:rsidR="00687D43" w:rsidRPr="00A92B17" w:rsidRDefault="008772A6" w:rsidP="00687D43">
      <w:pPr>
        <w:pStyle w:val="10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5381E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9">
        <w:rPr>
          <w:rFonts w:ascii="Times New Roman" w:hAnsi="Times New Roman"/>
          <w:sz w:val="28"/>
          <w:szCs w:val="28"/>
          <w:lang w:val="uk-UA"/>
        </w:rPr>
        <w:t>«___</w:t>
      </w:r>
      <w:r w:rsidR="00B4322D">
        <w:rPr>
          <w:rFonts w:ascii="Times New Roman" w:hAnsi="Times New Roman"/>
          <w:sz w:val="28"/>
          <w:szCs w:val="28"/>
          <w:lang w:val="uk-UA"/>
        </w:rPr>
        <w:t>»</w:t>
      </w:r>
      <w:r w:rsidR="00D5381E" w:rsidRPr="00A92B17">
        <w:rPr>
          <w:rFonts w:ascii="Times New Roman" w:hAnsi="Times New Roman"/>
          <w:sz w:val="28"/>
          <w:szCs w:val="28"/>
          <w:lang w:val="uk-UA"/>
        </w:rPr>
        <w:t xml:space="preserve"> березня  2019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073F9">
        <w:rPr>
          <w:rFonts w:ascii="Times New Roman" w:hAnsi="Times New Roman"/>
          <w:sz w:val="28"/>
          <w:szCs w:val="28"/>
          <w:lang w:val="uk-UA"/>
        </w:rPr>
        <w:t>___</w:t>
      </w:r>
      <w:r w:rsidR="00D5381E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7B09" w:rsidRPr="00A92B17" w:rsidRDefault="00D5381E" w:rsidP="00EB7B09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575D" w:rsidRPr="00A92B17" w:rsidRDefault="00DA575D" w:rsidP="00304538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n63"/>
      <w:bookmarkStart w:id="1" w:name="n64"/>
      <w:bookmarkStart w:id="2" w:name="n65"/>
      <w:bookmarkStart w:id="3" w:name="n66"/>
      <w:bookmarkStart w:id="4" w:name="n69"/>
      <w:bookmarkStart w:id="5" w:name="n70"/>
      <w:bookmarkStart w:id="6" w:name="n71"/>
      <w:bookmarkStart w:id="7" w:name="n7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04538" w:rsidRPr="00A92B17" w:rsidRDefault="00304538" w:rsidP="00304538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B17">
        <w:rPr>
          <w:rFonts w:ascii="Times New Roman" w:hAnsi="Times New Roman"/>
          <w:b/>
          <w:sz w:val="28"/>
          <w:szCs w:val="28"/>
          <w:lang w:val="uk-UA"/>
        </w:rPr>
        <w:t>АНТИКОРУПЦІЙНА ПРОГРАМА</w:t>
      </w:r>
      <w:r w:rsidRPr="00A92B17">
        <w:rPr>
          <w:rFonts w:ascii="Times New Roman" w:hAnsi="Times New Roman"/>
          <w:b/>
          <w:sz w:val="28"/>
          <w:szCs w:val="28"/>
          <w:lang w:val="uk-UA"/>
        </w:rPr>
        <w:br/>
        <w:t>Державної казначейської служби України</w:t>
      </w:r>
      <w:r w:rsidR="00D5381E" w:rsidRPr="00A92B17">
        <w:rPr>
          <w:rFonts w:ascii="Times New Roman" w:hAnsi="Times New Roman"/>
          <w:b/>
          <w:sz w:val="28"/>
          <w:szCs w:val="28"/>
          <w:lang w:val="uk-UA"/>
        </w:rPr>
        <w:t xml:space="preserve"> на 2019</w:t>
      </w:r>
      <w:r w:rsidRPr="00A92B17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304538" w:rsidRDefault="00304538" w:rsidP="00304538">
      <w:pPr>
        <w:pStyle w:val="10"/>
        <w:rPr>
          <w:rFonts w:ascii="Times New Roman" w:hAnsi="Times New Roman"/>
          <w:b/>
          <w:sz w:val="16"/>
          <w:szCs w:val="16"/>
          <w:lang w:val="uk-UA"/>
        </w:rPr>
      </w:pPr>
    </w:p>
    <w:p w:rsidR="00C277EA" w:rsidRPr="000E4B83" w:rsidRDefault="00C277EA" w:rsidP="00304538">
      <w:pPr>
        <w:pStyle w:val="10"/>
        <w:rPr>
          <w:rFonts w:ascii="Times New Roman" w:hAnsi="Times New Roman"/>
          <w:b/>
          <w:sz w:val="16"/>
          <w:szCs w:val="16"/>
        </w:rPr>
      </w:pPr>
    </w:p>
    <w:p w:rsidR="00E073F9" w:rsidRDefault="00304538" w:rsidP="00E073F9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B17">
        <w:rPr>
          <w:rFonts w:ascii="Times New Roman" w:hAnsi="Times New Roman"/>
          <w:b/>
          <w:sz w:val="28"/>
          <w:szCs w:val="28"/>
          <w:lang w:val="uk-UA"/>
        </w:rPr>
        <w:t>Засади загальної відомчої політики щодо</w:t>
      </w:r>
    </w:p>
    <w:p w:rsidR="00304538" w:rsidRPr="00A92B17" w:rsidRDefault="00304538" w:rsidP="00E073F9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B17">
        <w:rPr>
          <w:rFonts w:ascii="Times New Roman" w:hAnsi="Times New Roman"/>
          <w:b/>
          <w:sz w:val="28"/>
          <w:szCs w:val="28"/>
          <w:lang w:val="uk-UA"/>
        </w:rPr>
        <w:t>запобігання та протидії корупції, заходи з їх реалізації</w:t>
      </w:r>
    </w:p>
    <w:p w:rsidR="00304538" w:rsidRPr="00A92B17" w:rsidRDefault="00304538" w:rsidP="00304538">
      <w:pPr>
        <w:pStyle w:val="1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04538" w:rsidRPr="00A92B17" w:rsidRDefault="00304538" w:rsidP="00304538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Антикорупційну програму Державної казначейської служб</w:t>
      </w:r>
      <w:r w:rsidR="004C5C5A">
        <w:rPr>
          <w:rFonts w:ascii="Times New Roman" w:hAnsi="Times New Roman"/>
          <w:sz w:val="28"/>
          <w:szCs w:val="28"/>
          <w:lang w:val="uk-UA"/>
        </w:rPr>
        <w:t>и України  на 2019</w:t>
      </w:r>
      <w:r w:rsidR="00A93BBC" w:rsidRPr="00A92B17">
        <w:rPr>
          <w:rFonts w:ascii="Times New Roman" w:hAnsi="Times New Roman"/>
          <w:sz w:val="28"/>
          <w:szCs w:val="28"/>
          <w:lang w:val="uk-UA"/>
        </w:rPr>
        <w:t xml:space="preserve"> рік (далі – А</w:t>
      </w:r>
      <w:r w:rsidRPr="00A92B17">
        <w:rPr>
          <w:rFonts w:ascii="Times New Roman" w:hAnsi="Times New Roman"/>
          <w:sz w:val="28"/>
          <w:szCs w:val="28"/>
          <w:lang w:val="uk-UA"/>
        </w:rPr>
        <w:t>нтикорупційна прог</w:t>
      </w:r>
      <w:r w:rsidR="007326DE" w:rsidRPr="00A92B17">
        <w:rPr>
          <w:rFonts w:ascii="Times New Roman" w:hAnsi="Times New Roman"/>
          <w:sz w:val="28"/>
          <w:szCs w:val="28"/>
          <w:lang w:val="uk-UA"/>
        </w:rPr>
        <w:t>рама) розроблено на виконання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67C">
        <w:rPr>
          <w:rFonts w:ascii="Times New Roman" w:hAnsi="Times New Roman"/>
          <w:sz w:val="28"/>
          <w:szCs w:val="28"/>
          <w:lang w:val="uk-UA"/>
        </w:rPr>
        <w:t>вимог статті 19 Закону України «</w:t>
      </w:r>
      <w:r w:rsidRPr="00A92B17">
        <w:rPr>
          <w:rFonts w:ascii="Times New Roman" w:hAnsi="Times New Roman"/>
          <w:sz w:val="28"/>
          <w:szCs w:val="28"/>
          <w:lang w:val="uk-UA"/>
        </w:rPr>
        <w:t>Про</w:t>
      </w:r>
      <w:r w:rsidR="0014767C">
        <w:rPr>
          <w:rFonts w:ascii="Times New Roman" w:hAnsi="Times New Roman"/>
          <w:sz w:val="28"/>
          <w:szCs w:val="28"/>
          <w:lang w:val="uk-UA"/>
        </w:rPr>
        <w:t xml:space="preserve"> запобігання корупції»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з урахуванням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08.12.2017 № 1379, зареєстрованого в Міністерстві юстиції України 22.01.2018 за № 87/31539,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від 19.01.2017 № 31, Методології оцінювання корупційних ризиків у діяльності органів влади, затвердженої рішенням Національного агентства з 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питань запобігання корупції від 02.12.2016 </w:t>
      </w:r>
      <w:r w:rsidRPr="00A92B17">
        <w:rPr>
          <w:rFonts w:ascii="Times New Roman" w:hAnsi="Times New Roman"/>
          <w:sz w:val="28"/>
          <w:szCs w:val="28"/>
          <w:lang w:val="uk-UA"/>
        </w:rPr>
        <w:t>№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 126, зареєстрованої в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Міністерстві юстиції </w:t>
      </w:r>
      <w:r w:rsidR="00252C0D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>України 28.12.2016 за № 1718/29848.</w:t>
      </w:r>
    </w:p>
    <w:p w:rsidR="00304538" w:rsidRDefault="00304538" w:rsidP="00304538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Державна казначейська служба України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(далі – Казначейство) </w:t>
      </w: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центральним органом виконавчої влади, діяльність якого спрямовується і координується Кабінетом Міністрів України через Міністра фінансів України. Казначейство реалізує державну політику у сферах казначейського обслуговування бюджетних коштів, бухгалтерського обліку виконання бюджетів.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Відповідно до Положення про Державну казначейську службу України, затвердженого постановою Кабінету Міністрів України          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                         від 15.04.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2015 </w:t>
      </w:r>
      <w:r w:rsidR="00E073F9">
        <w:rPr>
          <w:rFonts w:ascii="Times New Roman" w:hAnsi="Times New Roman"/>
          <w:sz w:val="28"/>
          <w:szCs w:val="28"/>
          <w:lang w:val="uk-UA"/>
        </w:rPr>
        <w:t>№ 215,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Казначейство здійснює свої повноваження безпосередньо та через утворені в установленому порядку його територіальні органи.</w:t>
      </w:r>
    </w:p>
    <w:p w:rsidR="00A92B17" w:rsidRPr="00A92B17" w:rsidRDefault="00A92B17" w:rsidP="00A92B17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F012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Діяльність </w:t>
      </w: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Казначейства полягає у реалізації державної політики у сферах казначейського обслуговування бюджетних коштів, бухгалтерського обліку виконання бюджетів, зокрема у: 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1) забезпеченні казначейського обслуговування бюджетних коштів на основі ведення єдиного казначейського рахунку, відкритого у Національному банку України;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lastRenderedPageBreak/>
        <w:t>2) здійсненні безспірного списання коштів державного та місцевих бюджетів або боржників на підставі рішень судів;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3) відкритті, закритті та обслуговуванні рахунків у системі електронного адміністрування податків; 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4) обслуговуванні коштів фондів загальнообов’язкового державного соціального і пенсійного страхування, інших клієнтів та коштів єдиного внеску на загальнообов’язкове державне соціальне страхування; 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5) управлінні наявними фінансовими ресурсами, що консолідуються на єдиному казначейському рахунку; </w:t>
      </w:r>
    </w:p>
    <w:p w:rsidR="00A92B17" w:rsidRPr="00A92B17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6) здійсненні інших повноважень, визначених Положенням про Державну казначейську службу України, затвердженим постановою Кабінету Міністрів України від 15 квітня 2015 року</w:t>
      </w: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№ 215</w:t>
      </w:r>
      <w:r w:rsidRPr="00A92B17">
        <w:rPr>
          <w:rFonts w:ascii="Times New Roman" w:hAnsi="Times New Roman"/>
          <w:sz w:val="28"/>
          <w:szCs w:val="28"/>
          <w:lang w:val="uk-UA"/>
        </w:rPr>
        <w:t>.</w:t>
      </w:r>
    </w:p>
    <w:p w:rsidR="00304538" w:rsidRPr="00A92B17" w:rsidRDefault="00F01297" w:rsidP="00304538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Загальна відомча політика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Казначейства щодо запобігання і протидії корупції ґрунтується на засадах:</w:t>
      </w:r>
    </w:p>
    <w:p w:rsidR="00304538" w:rsidRPr="00A92B17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верховенства права;</w:t>
      </w:r>
    </w:p>
    <w:p w:rsidR="00304538" w:rsidRPr="00A92B17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дотримання прав людини і основних свобод;</w:t>
      </w:r>
    </w:p>
    <w:p w:rsidR="00304538" w:rsidRPr="00A92B17" w:rsidRDefault="00304538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невідворотності відповідальності та покарання за скоєння корупційних правопорушень чи правопорушень, пов’язаних з корупцією;</w:t>
      </w:r>
    </w:p>
    <w:p w:rsidR="00304538" w:rsidRPr="00A92B17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доброчесності на публічній службі;</w:t>
      </w:r>
    </w:p>
    <w:p w:rsidR="00A92DF9" w:rsidRPr="00A92B17" w:rsidRDefault="00A92DF9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формування негативного с</w:t>
      </w:r>
      <w:r w:rsidR="00304538"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тавлення до корупції;</w:t>
      </w:r>
    </w:p>
    <w:p w:rsidR="00304538" w:rsidRPr="00A92B17" w:rsidRDefault="00304538" w:rsidP="00E073F9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відкритості та прозорості під час пі</w:t>
      </w:r>
      <w:r w:rsidR="00E073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дготовки та прийняття публічних </w:t>
      </w: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рішень;</w:t>
      </w:r>
    </w:p>
    <w:p w:rsidR="00FE672D" w:rsidRPr="00A92B17" w:rsidRDefault="00FE672D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розвитку кадрового потенціалу;</w:t>
      </w:r>
    </w:p>
    <w:p w:rsidR="00304538" w:rsidRPr="00A92B17" w:rsidRDefault="00304538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удосконалення управління людськими ресурсами;</w:t>
      </w:r>
    </w:p>
    <w:p w:rsidR="00304538" w:rsidRPr="00A92B17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ефективного та законного використання бюджетних коштів; </w:t>
      </w:r>
    </w:p>
    <w:p w:rsidR="00FE672D" w:rsidRPr="00A92B17" w:rsidRDefault="00304538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партнерства з інститутами громадянського суспільства, широкого залучення громадськості до здійснення антикорупційних заходів</w:t>
      </w:r>
      <w:r w:rsidR="00FE672D"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304538" w:rsidRPr="00A92B17" w:rsidRDefault="00FE672D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відкритості і прозорості процесів підготовк</w:t>
      </w:r>
      <w:r w:rsidR="00A93BBC"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 та прийняття публічних рішень</w:t>
      </w:r>
      <w:r w:rsidR="00304538"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04538" w:rsidRPr="00A92B17" w:rsidRDefault="00304538" w:rsidP="003045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Основними критеріями для формування та реалізації загальної відомчої політики Казначейства щодо запобігання та протидії корупції є:</w:t>
      </w:r>
    </w:p>
    <w:p w:rsidR="00304538" w:rsidRPr="00A92B17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відповідність запланованих антикорупційних заходів Конституції України, законодавству України у сфері запобігання корупції та іншим нормативно-правовим актам;</w:t>
      </w:r>
    </w:p>
    <w:p w:rsidR="00304538" w:rsidRPr="00A92B17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удосконалення внутрішньої організаційної системи запобігання і протидії корупції;</w:t>
      </w:r>
    </w:p>
    <w:p w:rsidR="00304538" w:rsidRPr="00A92B17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безпосередня участь працівників Казначейства у формуванні та реалізації антикорупційних механізмів та процедур;</w:t>
      </w:r>
    </w:p>
    <w:p w:rsidR="00304538" w:rsidRPr="00A92B17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відповідальність та невідворотність покарання працівників незалежно від займаної посади та інших умов у разі вчинення ними корупційних правопорушень чи правопорушень, пов’язаних з корупцією;</w:t>
      </w:r>
    </w:p>
    <w:p w:rsidR="00304538" w:rsidRPr="00A92B17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постійний моніторинг ефективності здійснюваних антикорупційних заходів.</w:t>
      </w:r>
    </w:p>
    <w:p w:rsidR="00304538" w:rsidRPr="00A92B17" w:rsidRDefault="007F5FA5" w:rsidP="007F5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lastRenderedPageBreak/>
        <w:t xml:space="preserve">Антикорупційна програма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визначає ме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ту,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шляхи та способи зни</w:t>
      </w:r>
      <w:r w:rsidRPr="00A92B17">
        <w:rPr>
          <w:rFonts w:ascii="Times New Roman" w:hAnsi="Times New Roman"/>
          <w:sz w:val="28"/>
          <w:szCs w:val="28"/>
          <w:lang w:val="uk-UA"/>
        </w:rPr>
        <w:t>ження рівня корупційних ризиків та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включає в себе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звіт за результатами оцінки корупційних ризиків у діяльності Казначейства (далі – Звіт)</w:t>
      </w:r>
      <w:r w:rsidRPr="00A92B17">
        <w:rPr>
          <w:rFonts w:ascii="Times New Roman" w:hAnsi="Times New Roman"/>
          <w:sz w:val="28"/>
          <w:szCs w:val="28"/>
          <w:lang w:val="uk-UA"/>
        </w:rPr>
        <w:t>, до якого додаються:</w:t>
      </w:r>
    </w:p>
    <w:p w:rsidR="00304538" w:rsidRPr="00A92B17" w:rsidRDefault="00304538" w:rsidP="00C25E2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опис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ідентифікованих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корупційних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ризиків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,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  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чинників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корупційних ризиків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та можливих наслідків корупційного правопорушення чи правопорушення, пов’язаного з корупцією;</w:t>
      </w:r>
    </w:p>
    <w:p w:rsidR="00304538" w:rsidRPr="00A92B17" w:rsidRDefault="00E42176" w:rsidP="00DA575D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оцінені корупційні ризики та заходи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щодо їх усунення.</w:t>
      </w:r>
    </w:p>
    <w:p w:rsidR="0014767C" w:rsidRDefault="00B6220F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Метою А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нтикорупційної програми є</w:t>
      </w:r>
      <w:r w:rsidR="00A93BBC" w:rsidRPr="00A92B17">
        <w:rPr>
          <w:rFonts w:ascii="Times New Roman" w:hAnsi="Times New Roman"/>
          <w:sz w:val="28"/>
          <w:szCs w:val="28"/>
          <w:lang w:val="uk-UA"/>
        </w:rPr>
        <w:t xml:space="preserve"> вжиття додаткових та посилення </w:t>
      </w:r>
      <w:r w:rsidR="0014767C">
        <w:rPr>
          <w:rFonts w:ascii="Times New Roman" w:hAnsi="Times New Roman"/>
          <w:sz w:val="28"/>
          <w:szCs w:val="28"/>
          <w:lang w:val="uk-UA"/>
        </w:rPr>
        <w:t>наявних</w:t>
      </w:r>
      <w:r w:rsidR="00A93BBC" w:rsidRPr="00A92B17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E073F9">
        <w:rPr>
          <w:rFonts w:ascii="Times New Roman" w:hAnsi="Times New Roman"/>
          <w:sz w:val="28"/>
          <w:szCs w:val="28"/>
          <w:lang w:val="uk-UA"/>
        </w:rPr>
        <w:t>,</w:t>
      </w:r>
      <w:r w:rsidR="00A93BBC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9">
        <w:rPr>
          <w:rFonts w:ascii="Times New Roman" w:hAnsi="Times New Roman"/>
          <w:sz w:val="28"/>
          <w:szCs w:val="28"/>
          <w:lang w:val="uk-UA"/>
        </w:rPr>
        <w:t>спрямованих</w:t>
      </w:r>
      <w:r w:rsidR="00A93BBC" w:rsidRPr="00A92B17">
        <w:rPr>
          <w:rFonts w:ascii="Times New Roman" w:hAnsi="Times New Roman"/>
          <w:sz w:val="28"/>
          <w:szCs w:val="28"/>
          <w:lang w:val="uk-UA"/>
        </w:rPr>
        <w:t xml:space="preserve"> на утворення ефективної системи запобігання і протидії корупції в апараті Казначейства та його територіальних органах, впровадження механізмів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зменшення та усунення корупційних ризиків. </w:t>
      </w:r>
      <w:r w:rsidR="0014767C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04538" w:rsidRPr="00A92B17" w:rsidRDefault="00E073F9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Зазначене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 xml:space="preserve"> реалізується шляхом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:</w:t>
      </w:r>
    </w:p>
    <w:p w:rsidR="00B6220F" w:rsidRPr="00A92B17" w:rsidRDefault="00B6220F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1)</w:t>
      </w:r>
      <w:r w:rsidR="00A92B17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>забезпечення системного підходу до запобігання і протидії корупції;</w:t>
      </w:r>
    </w:p>
    <w:p w:rsidR="00304538" w:rsidRPr="00A92B17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2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упередження виникнення та недопущення корупційних правопорушень чи правопорушень, пов’язаних з корупцією, під час обслуговування бюджетів та клієнтів Казначейства;</w:t>
      </w:r>
    </w:p>
    <w:p w:rsidR="00304538" w:rsidRPr="00A92B17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3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запровадження сучасних антикорупційних механізмів;</w:t>
      </w:r>
    </w:p>
    <w:p w:rsidR="00304538" w:rsidRPr="00A92B17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4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залучення громадськості до формування та реалізації загальної відомчої політики щодо запобігання та протидії корупції у сфері діяльності 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Казначейства, а також об’єктивне та достовірне інформування інститутів гро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мадянського суспільства про їх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роботу;</w:t>
      </w:r>
    </w:p>
    <w:p w:rsidR="00304538" w:rsidRPr="00A92B17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5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виявлення корупційних ризик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ів, що можуть негативно вплинути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на виконання 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органами Казначейства покладених на них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функцій та завдань;</w:t>
      </w:r>
    </w:p>
    <w:p w:rsidR="00304538" w:rsidRPr="00A92B17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304538" w:rsidRPr="00A92B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 вжиття заходів щодо недопущення виникнення реального, потенційного конфлікту інтересів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, здійснення контролю за дотриманням 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 xml:space="preserve">антикорупційного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законодавства в частині 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 xml:space="preserve">запобігання та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врегулювання конфлікту інтересів;</w:t>
      </w:r>
    </w:p>
    <w:p w:rsidR="00A92B17" w:rsidRPr="00A92B17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7) удосконалення роботи з підбору персоналу, своєчасної та неупередженої перевірки відомостей стосовно осіб, які претендують на зайняття посад державної служби </w:t>
      </w:r>
      <w:r w:rsidR="0014767C">
        <w:rPr>
          <w:rFonts w:ascii="Times New Roman" w:hAnsi="Times New Roman"/>
          <w:sz w:val="28"/>
          <w:szCs w:val="28"/>
          <w:lang w:val="uk-UA"/>
        </w:rPr>
        <w:t>в</w:t>
      </w:r>
      <w:r w:rsidR="00E07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>Казначейств</w:t>
      </w:r>
      <w:r w:rsidR="00E073F9">
        <w:rPr>
          <w:rFonts w:ascii="Times New Roman" w:hAnsi="Times New Roman"/>
          <w:sz w:val="28"/>
          <w:szCs w:val="28"/>
          <w:lang w:val="uk-UA"/>
        </w:rPr>
        <w:t>і</w:t>
      </w:r>
      <w:r w:rsidRPr="00A92B17">
        <w:rPr>
          <w:rFonts w:ascii="Times New Roman" w:hAnsi="Times New Roman"/>
          <w:sz w:val="28"/>
          <w:szCs w:val="28"/>
          <w:lang w:val="uk-UA"/>
        </w:rPr>
        <w:t>;</w:t>
      </w:r>
    </w:p>
    <w:p w:rsidR="00304538" w:rsidRPr="00A92B17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8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01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кон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трол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>ю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 xml:space="preserve"> за поданням декларацій осо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б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ами, уповноваженими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на виконання функцій держ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ави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;</w:t>
      </w:r>
    </w:p>
    <w:p w:rsidR="006631C9" w:rsidRPr="00A92B17" w:rsidRDefault="00A92B17" w:rsidP="006631C9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9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01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контрол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>ю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за дотриманням працівниками антикорупційного законодавства</w:t>
      </w:r>
      <w:r w:rsidR="0021445A" w:rsidRPr="00A92B17">
        <w:rPr>
          <w:rFonts w:ascii="Times New Roman" w:hAnsi="Times New Roman"/>
          <w:sz w:val="28"/>
          <w:szCs w:val="28"/>
          <w:lang w:val="uk-UA"/>
        </w:rPr>
        <w:t xml:space="preserve">, в тому числі вимог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щодо етичної поведінки</w:t>
      </w:r>
      <w:r w:rsidR="006631C9" w:rsidRPr="00A92B17">
        <w:rPr>
          <w:rFonts w:ascii="Times New Roman" w:hAnsi="Times New Roman"/>
          <w:sz w:val="28"/>
          <w:szCs w:val="28"/>
          <w:lang w:val="uk-UA"/>
        </w:rPr>
        <w:t xml:space="preserve"> осіб, уповноважених на виконання функцій держави;</w:t>
      </w:r>
    </w:p>
    <w:p w:rsidR="00304538" w:rsidRPr="00A92B17" w:rsidRDefault="00A92B17" w:rsidP="00C20EF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10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вжиття 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 xml:space="preserve">передбачених законом заходів до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осіб, які вчинили корупційні правопорушення чи правопорушення, пов’язані з корупцією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>;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538" w:rsidRPr="00A92B17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11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>) забезпечення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навчання працівників з питань запобігання корупції;</w:t>
      </w:r>
    </w:p>
    <w:p w:rsidR="00A92B17" w:rsidRPr="00A92B17" w:rsidRDefault="00A92B17" w:rsidP="00A92B17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12) забезпечення умов для повідомлень про порушення вимог антикорупційного законодавства;</w:t>
      </w:r>
    </w:p>
    <w:p w:rsidR="007F6F9B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13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забезпечення функціонування ефективної системи запобігання і протидії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 xml:space="preserve"> корупції на засадах прозорості та відкритості;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538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14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забезпечення можливості публічного обговорення антикорупційної програми.</w:t>
      </w:r>
    </w:p>
    <w:p w:rsidR="006755A0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lastRenderedPageBreak/>
        <w:t>Положення А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нтикорупційної програми є обов’язковими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247" w:rsidRPr="00A92B17">
        <w:rPr>
          <w:rFonts w:ascii="Times New Roman" w:hAnsi="Times New Roman"/>
          <w:sz w:val="28"/>
          <w:szCs w:val="28"/>
          <w:lang w:val="uk-UA"/>
        </w:rPr>
        <w:t xml:space="preserve">для виконання </w:t>
      </w:r>
      <w:r w:rsidR="00E073F9">
        <w:rPr>
          <w:rFonts w:ascii="Times New Roman" w:hAnsi="Times New Roman"/>
          <w:sz w:val="28"/>
          <w:szCs w:val="28"/>
          <w:lang w:val="uk-UA"/>
        </w:rPr>
        <w:t>в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>сіма органами Казн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а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>ч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ейства.</w:t>
      </w:r>
    </w:p>
    <w:p w:rsidR="00304538" w:rsidRPr="00B7522E" w:rsidRDefault="00304538" w:rsidP="00DA575D">
      <w:pPr>
        <w:pStyle w:val="1"/>
        <w:spacing w:after="0" w:line="233" w:lineRule="auto"/>
        <w:ind w:left="561" w:right="561"/>
        <w:textAlignment w:val="baseline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2B2A46" w:rsidRDefault="00304538" w:rsidP="002B2A46">
      <w:pPr>
        <w:pStyle w:val="1"/>
        <w:numPr>
          <w:ilvl w:val="0"/>
          <w:numId w:val="1"/>
        </w:numPr>
        <w:spacing w:after="0" w:line="233" w:lineRule="auto"/>
        <w:ind w:left="0" w:right="-1" w:firstLine="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Оцінка корупційних ризиків у діяльності </w:t>
      </w: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2B2A46" w:rsidRDefault="002B2A46" w:rsidP="002B2A46">
      <w:pPr>
        <w:pStyle w:val="1"/>
        <w:spacing w:after="0" w:line="233" w:lineRule="auto"/>
        <w:ind w:left="0" w:right="-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304538" w:rsidRPr="002B2A4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аходи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щодо усунення вия</w:t>
      </w:r>
      <w:r w:rsidR="0030453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влених корупційних ризиків, особи</w:t>
      </w:r>
      <w:r w:rsidR="00304538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304538" w:rsidRDefault="00304538" w:rsidP="002B2A46">
      <w:pPr>
        <w:pStyle w:val="1"/>
        <w:spacing w:after="0" w:line="233" w:lineRule="auto"/>
        <w:ind w:left="0" w:right="-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ідповідальні</w:t>
      </w: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за їх виконан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ня, строки та необхідні ресурси</w:t>
      </w:r>
    </w:p>
    <w:p w:rsidR="00304538" w:rsidRPr="00B7522E" w:rsidRDefault="00304538" w:rsidP="00DA575D">
      <w:pPr>
        <w:pStyle w:val="1"/>
        <w:spacing w:after="0" w:line="233" w:lineRule="auto"/>
        <w:ind w:left="0" w:right="561"/>
        <w:jc w:val="center"/>
        <w:textAlignment w:val="baseline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E95AB1" w:rsidRDefault="00E95AB1" w:rsidP="00DA575D">
      <w:pPr>
        <w:spacing w:after="0" w:line="233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8" w:name="n51"/>
      <w:bookmarkEnd w:id="8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Важливим напрямом у сфері запобігання та протидії корупції є оцінка корупційних ризиків, яка спрямована на виявлення найбільш вразливих до корупції процесів, що мають місце під час здійснення посадовими </w:t>
      </w:r>
      <w:r w:rsidR="00F012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службовими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особами своїх повноважень, причин та умов, які сприяють виникненню корупційних схем.</w:t>
      </w:r>
    </w:p>
    <w:p w:rsidR="00E95AB1" w:rsidRDefault="00E95AB1" w:rsidP="00273C51">
      <w:pPr>
        <w:spacing w:after="0" w:line="233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Оцінка корупційних ризиків у діяльності Казначейства, що можуть негативно впливати на виконання функцій і завдань, є дослідження конкретних процесів у діяльності апарату Казначейства та його територіальних органів, під час виконання яких 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ймовірне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вчинення працівниками корупційних правопорушень чи правопорушень, пов’язаних з корупцією.</w:t>
      </w:r>
    </w:p>
    <w:p w:rsidR="00B424F4" w:rsidRDefault="00F01297" w:rsidP="00B424F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n52"/>
      <w:bookmarkStart w:id="10" w:name="n53"/>
      <w:bookmarkEnd w:id="9"/>
      <w:bookmarkEnd w:id="1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Оцінка корупційних ризиків</w:t>
      </w:r>
      <w:r w:rsidR="00E5577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здійснена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комісією з оцінки корупційних ризиків та моніторингу виконання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 Державної казначейської служби України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(далі </w:t>
      </w:r>
      <w:r w:rsidR="00304538" w:rsidRPr="00C90991">
        <w:rPr>
          <w:rFonts w:ascii="Times New Roman" w:hAnsi="Times New Roman"/>
          <w:sz w:val="28"/>
          <w:szCs w:val="28"/>
          <w:lang w:val="uk-UA"/>
        </w:rPr>
        <w:t>–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Комісія)</w:t>
      </w:r>
      <w:r w:rsidR="00B424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критеріями ймовірності виникнення ідентифікованих корупційних ризиків та наслідків корупційного правопорушення чи правопорушення, пов’язаного з корупцією,</w:t>
      </w:r>
      <w:r w:rsidR="00273C5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відповідно</w:t>
      </w:r>
      <w:r w:rsidR="00B424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 вимог</w:t>
      </w:r>
      <w:r w:rsidR="00B424F4" w:rsidRPr="00B424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>Методології оцінювання корупційних ризиків у діяльності органів влади, затвердженої рішенням Національного агентства з питань за</w:t>
      </w:r>
      <w:r w:rsidR="00B424F4">
        <w:rPr>
          <w:rFonts w:ascii="Times New Roman" w:hAnsi="Times New Roman"/>
          <w:sz w:val="28"/>
          <w:szCs w:val="28"/>
          <w:lang w:val="uk-UA"/>
        </w:rPr>
        <w:t>побігання корупції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 xml:space="preserve"> від 02.12.2016 №126, зареєстрованої в Міністерстві юстиції </w:t>
      </w:r>
      <w:r w:rsidR="004855F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>України 28.12.2016 за № 1718/29848</w:t>
      </w:r>
      <w:r w:rsidR="00B424F4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>Методичних рекомендацій щодо підготовки антикорупційних програм органів влади, затверджених рішенням Національного агентства з питань запобіган</w:t>
      </w:r>
      <w:r w:rsidR="00B424F4">
        <w:rPr>
          <w:rFonts w:ascii="Times New Roman" w:hAnsi="Times New Roman"/>
          <w:sz w:val="28"/>
          <w:szCs w:val="28"/>
          <w:lang w:val="uk-UA"/>
        </w:rPr>
        <w:t xml:space="preserve">ня корупції </w:t>
      </w:r>
      <w:r w:rsidR="009250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424F4">
        <w:rPr>
          <w:rFonts w:ascii="Times New Roman" w:hAnsi="Times New Roman"/>
          <w:sz w:val="28"/>
          <w:szCs w:val="28"/>
          <w:lang w:val="uk-UA"/>
        </w:rPr>
        <w:t>від 19.01.2017 № 31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>.</w:t>
      </w:r>
    </w:p>
    <w:p w:rsidR="00304538" w:rsidRDefault="00304538" w:rsidP="005A54E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n54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Роботу Комісії організовано </w:t>
      </w:r>
      <w:r w:rsidRPr="00AA7058">
        <w:rPr>
          <w:rFonts w:ascii="Times New Roman" w:hAnsi="Times New Roman"/>
          <w:sz w:val="28"/>
          <w:szCs w:val="28"/>
          <w:lang w:val="uk-UA"/>
        </w:rPr>
        <w:t>відповідно до завдань та функцій, визначених Положенням про Коміс</w:t>
      </w:r>
      <w:r>
        <w:rPr>
          <w:rFonts w:ascii="Times New Roman" w:hAnsi="Times New Roman"/>
          <w:sz w:val="28"/>
          <w:szCs w:val="28"/>
          <w:lang w:val="uk-UA"/>
        </w:rPr>
        <w:t xml:space="preserve">ію, затвердженим наказом Казначейства </w:t>
      </w:r>
      <w:r w:rsidRPr="00100278">
        <w:rPr>
          <w:rFonts w:ascii="Times New Roman" w:hAnsi="Times New Roman"/>
          <w:sz w:val="28"/>
          <w:szCs w:val="28"/>
          <w:lang w:val="uk-UA"/>
        </w:rPr>
        <w:t>від 16.03.2017 №</w:t>
      </w:r>
      <w:r w:rsidRPr="005010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86.</w:t>
      </w:r>
      <w:r w:rsidRPr="00AA70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35E" w:rsidRDefault="005A54E8" w:rsidP="00EC635E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Комісією</w:t>
      </w:r>
      <w:r w:rsidR="00EC63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досліджено організаційну структуру органів Казначейства, систему внутрішнього контролю, бюджетну діяльність та управління фінансами, управління персоналом та професійне навчання, управління документальним забезпеченням, управління матеріальними ресурсами, управління інформацією, проведення процедури закупівель, 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ведення </w:t>
      </w:r>
      <w:r w:rsidR="00EC63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претензійно-позовн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ої роботи</w:t>
      </w:r>
      <w:r w:rsidR="00EC63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здійснення внутрішнього </w:t>
      </w:r>
      <w:r w:rsidR="00F012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контролю та </w:t>
      </w:r>
      <w:r w:rsidR="00EC63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аудиту, </w:t>
      </w:r>
      <w:r w:rsidR="00F012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діяльність з питань запобігання корупції та </w:t>
      </w:r>
      <w:r w:rsidR="00EC63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дотримання антикорупційного законодавства, інші питання, що виникають у діяльності органів Казначейства.</w:t>
      </w:r>
    </w:p>
    <w:p w:rsidR="006A5416" w:rsidRDefault="00D06BDB" w:rsidP="00D06BDB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Для ідентифікації та оцінки корупційних ризиків Комісією визначено </w:t>
      </w:r>
      <w:r w:rsidR="006A5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основні напрями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діяльності органів Казначейства</w:t>
      </w:r>
      <w:r w:rsidR="006A5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саме:</w:t>
      </w:r>
    </w:p>
    <w:p w:rsidR="006A5416" w:rsidRDefault="006A5416" w:rsidP="0030453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1) виконан</w:t>
      </w:r>
      <w:r w:rsidR="00D06BD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ня функцій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 обсл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уговуванні бюджетів та клієнтів;</w:t>
      </w:r>
    </w:p>
    <w:p w:rsidR="006A5416" w:rsidRDefault="006A5416" w:rsidP="0030453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2) фінансово-го</w:t>
      </w:r>
      <w:r w:rsidR="00B440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r w:rsidR="00D06BD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одарська діяльність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A5416" w:rsidRDefault="006A5416" w:rsidP="0030453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3) управління персоналом;</w:t>
      </w:r>
    </w:p>
    <w:p w:rsidR="006A5416" w:rsidRDefault="006A5416" w:rsidP="0030453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 внутрішній контроль та аудит;</w:t>
      </w:r>
    </w:p>
    <w:p w:rsidR="00BE328F" w:rsidRDefault="00B440BB" w:rsidP="00E42176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5) виконання рішень суду</w:t>
      </w:r>
      <w:r w:rsidR="00BE3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A5416" w:rsidRDefault="00BE328F" w:rsidP="00E42176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6)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BE328F">
        <w:rPr>
          <w:rFonts w:ascii="Times New Roman" w:hAnsi="Times New Roman"/>
          <w:sz w:val="28"/>
          <w:szCs w:val="28"/>
          <w:lang w:val="uk-UA"/>
        </w:rPr>
        <w:t>іяльність із запобігання та виявлення корупції</w:t>
      </w:r>
      <w:r w:rsidR="00B440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06310" w:rsidRPr="007C271E" w:rsidRDefault="007C271E" w:rsidP="007C271E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Комісією</w:t>
      </w:r>
      <w:r w:rsidR="00B440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A54E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визначено об</w:t>
      </w:r>
      <w:r w:rsidR="005A54E8" w:rsidRPr="005A54E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’</w:t>
      </w:r>
      <w:r w:rsidR="005A54E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єкти для ід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ентифікації корупційних ризиків, </w:t>
      </w:r>
      <w:r w:rsidR="006A5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ідентифіковано </w:t>
      </w:r>
      <w:r w:rsidR="00B440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корупційні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ризики,</w:t>
      </w:r>
      <w:r w:rsidR="005A54E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здійснено їх формальне визначення та проведено оцінку</w:t>
      </w:r>
      <w:r w:rsidR="005A54E8" w:rsidRPr="0090631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906310" w:rsidRPr="00906310">
        <w:rPr>
          <w:rFonts w:ascii="Times New Roman" w:hAnsi="Times New Roman"/>
          <w:sz w:val="28"/>
          <w:lang w:val="uk-UA"/>
        </w:rPr>
        <w:t xml:space="preserve"> </w:t>
      </w:r>
    </w:p>
    <w:p w:rsidR="00745F83" w:rsidRDefault="00E42176" w:rsidP="00545E5C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</w:t>
      </w:r>
      <w:r w:rsidR="00745F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жерелами отримання інформац</w:t>
      </w:r>
      <w:r w:rsidR="00A21D6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745F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ї</w:t>
      </w:r>
      <w:r w:rsidR="00A21D6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для ідентиф</w:t>
      </w:r>
      <w:r w:rsidR="00D416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ікації корупційних ризиків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зокрема,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16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стали</w:t>
      </w:r>
      <w:r w:rsidR="009A6CE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545E5C" w:rsidRDefault="00545E5C" w:rsidP="00545E5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законодавчих та нормативно-правових актів, організаційно-розпорядчих документів, що регулюють діяльність Казначейства;</w:t>
      </w:r>
    </w:p>
    <w:p w:rsidR="00542A1D" w:rsidRDefault="00545E5C" w:rsidP="00545E5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матеріали </w:t>
      </w:r>
      <w:r w:rsidR="00D416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="009A6CE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нонімн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ого</w:t>
      </w:r>
      <w:r w:rsidR="00542A1D" w:rsidRPr="00542A1D">
        <w:rPr>
          <w:rFonts w:ascii="Times New Roman" w:hAnsi="Times New Roman"/>
          <w:sz w:val="28"/>
          <w:szCs w:val="28"/>
          <w:lang w:val="uk-UA"/>
        </w:rPr>
        <w:t xml:space="preserve"> опитування </w:t>
      </w:r>
      <w:r w:rsidR="00542A1D">
        <w:rPr>
          <w:rFonts w:ascii="Times New Roman" w:hAnsi="Times New Roman"/>
          <w:sz w:val="28"/>
          <w:szCs w:val="28"/>
          <w:lang w:val="uk-UA"/>
        </w:rPr>
        <w:t>розпорядників та од</w:t>
      </w:r>
      <w:r w:rsidR="00E42176">
        <w:rPr>
          <w:rFonts w:ascii="Times New Roman" w:hAnsi="Times New Roman"/>
          <w:sz w:val="28"/>
          <w:szCs w:val="28"/>
          <w:lang w:val="uk-UA"/>
        </w:rPr>
        <w:t>ержувачів бюджетних коштів</w:t>
      </w:r>
      <w:r w:rsidR="00542A1D">
        <w:rPr>
          <w:rFonts w:ascii="Times New Roman" w:hAnsi="Times New Roman"/>
          <w:sz w:val="28"/>
          <w:szCs w:val="28"/>
          <w:lang w:val="uk-UA"/>
        </w:rPr>
        <w:t>;</w:t>
      </w:r>
    </w:p>
    <w:p w:rsidR="009D3600" w:rsidRDefault="009D3600" w:rsidP="00545E5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заслуховування керівників</w:t>
      </w:r>
      <w:r w:rsidRPr="009D3600">
        <w:rPr>
          <w:rFonts w:ascii="Times New Roman" w:hAnsi="Times New Roman"/>
          <w:sz w:val="28"/>
          <w:szCs w:val="28"/>
          <w:lang w:val="uk-UA"/>
        </w:rPr>
        <w:t xml:space="preserve"> самостійних </w:t>
      </w:r>
      <w:r>
        <w:rPr>
          <w:rFonts w:ascii="Times New Roman" w:hAnsi="Times New Roman"/>
          <w:sz w:val="28"/>
          <w:szCs w:val="28"/>
          <w:lang w:val="uk-UA"/>
        </w:rPr>
        <w:t xml:space="preserve">структурних </w:t>
      </w:r>
      <w:r w:rsidRPr="009D3600">
        <w:rPr>
          <w:rFonts w:ascii="Times New Roman" w:hAnsi="Times New Roman"/>
          <w:sz w:val="28"/>
          <w:szCs w:val="28"/>
          <w:lang w:val="uk-UA"/>
        </w:rPr>
        <w:t>підрозділів апарат</w:t>
      </w:r>
      <w:r>
        <w:rPr>
          <w:rFonts w:ascii="Times New Roman" w:hAnsi="Times New Roman"/>
          <w:sz w:val="28"/>
          <w:szCs w:val="28"/>
          <w:lang w:val="uk-UA"/>
        </w:rPr>
        <w:t xml:space="preserve">у Казначейства, </w:t>
      </w:r>
      <w:r w:rsidR="00E42176">
        <w:rPr>
          <w:rFonts w:ascii="Times New Roman" w:hAnsi="Times New Roman"/>
          <w:sz w:val="28"/>
          <w:szCs w:val="28"/>
          <w:lang w:val="uk-UA"/>
        </w:rPr>
        <w:t xml:space="preserve">керівників територіальних органів, </w:t>
      </w:r>
      <w:r>
        <w:rPr>
          <w:rFonts w:ascii="Times New Roman" w:hAnsi="Times New Roman"/>
          <w:sz w:val="28"/>
          <w:szCs w:val="28"/>
          <w:lang w:val="uk-UA"/>
        </w:rPr>
        <w:t>виконавців та працівників, задіяних</w:t>
      </w:r>
      <w:r w:rsidRPr="009D3600">
        <w:rPr>
          <w:rFonts w:ascii="Times New Roman" w:hAnsi="Times New Roman"/>
          <w:sz w:val="28"/>
          <w:szCs w:val="28"/>
          <w:lang w:val="uk-UA"/>
        </w:rPr>
        <w:t xml:space="preserve"> у від</w:t>
      </w:r>
      <w:r>
        <w:rPr>
          <w:rFonts w:ascii="Times New Roman" w:hAnsi="Times New Roman"/>
          <w:sz w:val="28"/>
          <w:szCs w:val="28"/>
          <w:lang w:val="uk-UA"/>
        </w:rPr>
        <w:t>повідних процесах;</w:t>
      </w:r>
    </w:p>
    <w:p w:rsidR="00545E5C" w:rsidRDefault="00545E5C" w:rsidP="005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ru-RU"/>
        </w:rPr>
        <w:t xml:space="preserve">                       </w:t>
      </w:r>
      <w:proofErr w:type="spellStart"/>
      <w:r w:rsidRPr="00545E5C">
        <w:rPr>
          <w:rFonts w:ascii="Times New Roman" w:hAnsi="Times New Roman"/>
          <w:bCs/>
          <w:sz w:val="28"/>
          <w:szCs w:val="28"/>
        </w:rPr>
        <w:t>матеріали</w:t>
      </w:r>
      <w:proofErr w:type="spellEnd"/>
      <w:r w:rsidRPr="00545E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45E5C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545E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45E5C">
        <w:rPr>
          <w:rFonts w:ascii="Times New Roman" w:hAnsi="Times New Roman"/>
          <w:bCs/>
          <w:sz w:val="28"/>
          <w:szCs w:val="28"/>
        </w:rPr>
        <w:t>антикорупційної</w:t>
      </w:r>
      <w:proofErr w:type="spellEnd"/>
      <w:r w:rsidRPr="00545E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45E5C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545E5C">
        <w:rPr>
          <w:rFonts w:ascii="Times New Roman" w:hAnsi="Times New Roman"/>
          <w:bCs/>
          <w:sz w:val="28"/>
          <w:szCs w:val="28"/>
        </w:rPr>
        <w:t xml:space="preserve"> Казначейства на 2018 </w:t>
      </w:r>
      <w:proofErr w:type="spellStart"/>
      <w:proofErr w:type="gramStart"/>
      <w:r w:rsidRPr="00545E5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545E5C">
        <w:rPr>
          <w:rFonts w:ascii="Times New Roman" w:hAnsi="Times New Roman"/>
          <w:bCs/>
          <w:sz w:val="28"/>
          <w:szCs w:val="28"/>
        </w:rPr>
        <w:t>ік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545E5C" w:rsidRPr="00545E5C" w:rsidRDefault="00545E5C" w:rsidP="005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інформація з відкритих джерел.</w:t>
      </w:r>
    </w:p>
    <w:p w:rsidR="00C63BBC" w:rsidRDefault="00545E5C" w:rsidP="00E42176">
      <w:pPr>
        <w:pStyle w:val="a5"/>
        <w:spacing w:before="0" w:beforeAutospacing="0" w:after="0" w:afterAutospacing="0" w:line="23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55775">
        <w:rPr>
          <w:sz w:val="28"/>
          <w:szCs w:val="28"/>
          <w:lang w:val="uk-UA"/>
        </w:rPr>
        <w:t>Оцінені Комісією корупційні ризики</w:t>
      </w:r>
      <w:r w:rsidR="00C63BBC">
        <w:rPr>
          <w:sz w:val="28"/>
          <w:szCs w:val="28"/>
          <w:lang w:val="uk-UA"/>
        </w:rPr>
        <w:t xml:space="preserve"> та заходи щодо </w:t>
      </w:r>
      <w:r w:rsidR="0047350F">
        <w:rPr>
          <w:sz w:val="28"/>
          <w:szCs w:val="28"/>
          <w:lang w:val="uk-UA"/>
        </w:rPr>
        <w:t xml:space="preserve">їх </w:t>
      </w:r>
      <w:r w:rsidR="00C63BBC">
        <w:rPr>
          <w:sz w:val="28"/>
          <w:szCs w:val="28"/>
          <w:lang w:val="uk-UA"/>
        </w:rPr>
        <w:t>усунення</w:t>
      </w:r>
      <w:r w:rsidR="008E3568">
        <w:rPr>
          <w:sz w:val="28"/>
          <w:szCs w:val="28"/>
          <w:lang w:val="uk-UA"/>
        </w:rPr>
        <w:t xml:space="preserve"> </w:t>
      </w:r>
      <w:r w:rsidR="00E55775">
        <w:rPr>
          <w:sz w:val="28"/>
          <w:szCs w:val="28"/>
          <w:lang w:val="uk-UA"/>
        </w:rPr>
        <w:t>враховують</w:t>
      </w:r>
      <w:r w:rsidR="002B2A46">
        <w:rPr>
          <w:sz w:val="28"/>
          <w:szCs w:val="28"/>
          <w:lang w:val="uk-UA"/>
        </w:rPr>
        <w:t xml:space="preserve"> у</w:t>
      </w:r>
      <w:r w:rsidR="00E55775" w:rsidRPr="00C773D8">
        <w:rPr>
          <w:sz w:val="28"/>
          <w:szCs w:val="28"/>
          <w:lang w:val="uk-UA"/>
        </w:rPr>
        <w:t>сю сферу діяльності Казначейства</w:t>
      </w:r>
      <w:r w:rsidR="008E3568">
        <w:rPr>
          <w:sz w:val="28"/>
          <w:szCs w:val="28"/>
          <w:lang w:val="uk-UA"/>
        </w:rPr>
        <w:t xml:space="preserve"> та </w:t>
      </w:r>
      <w:r w:rsidR="00C63BBC">
        <w:rPr>
          <w:sz w:val="28"/>
          <w:szCs w:val="28"/>
          <w:lang w:val="uk-UA"/>
        </w:rPr>
        <w:t>поширюю</w:t>
      </w:r>
      <w:r w:rsidR="00C63BBC" w:rsidRPr="00E55775">
        <w:rPr>
          <w:sz w:val="28"/>
          <w:szCs w:val="28"/>
          <w:lang w:val="uk-UA"/>
        </w:rPr>
        <w:t xml:space="preserve">ться на всю організаційну структуру Казначейства, включаючи </w:t>
      </w:r>
      <w:r w:rsidR="00E42176">
        <w:rPr>
          <w:sz w:val="28"/>
          <w:szCs w:val="28"/>
          <w:lang w:val="uk-UA"/>
        </w:rPr>
        <w:t xml:space="preserve">його </w:t>
      </w:r>
      <w:r w:rsidR="00C63BBC" w:rsidRPr="00E55775">
        <w:rPr>
          <w:sz w:val="28"/>
          <w:szCs w:val="28"/>
          <w:lang w:val="uk-UA"/>
        </w:rPr>
        <w:t>територіальні органи</w:t>
      </w:r>
      <w:r w:rsidR="00E42176">
        <w:rPr>
          <w:sz w:val="28"/>
          <w:szCs w:val="28"/>
          <w:lang w:val="uk-UA"/>
        </w:rPr>
        <w:t>.</w:t>
      </w:r>
      <w:r w:rsidR="00C63BBC" w:rsidRPr="00E55775">
        <w:rPr>
          <w:sz w:val="28"/>
          <w:szCs w:val="28"/>
          <w:lang w:val="uk-UA"/>
        </w:rPr>
        <w:t xml:space="preserve"> </w:t>
      </w:r>
    </w:p>
    <w:p w:rsidR="00545E5C" w:rsidRDefault="00B977D6" w:rsidP="00E42176">
      <w:pPr>
        <w:pStyle w:val="a5"/>
        <w:spacing w:before="0" w:beforeAutospacing="0" w:after="0" w:afterAutospacing="0" w:line="23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 результатами оцінки ідентифікованих корупційних ризиків</w:t>
      </w:r>
      <w:r w:rsidR="00545E5C">
        <w:rPr>
          <w:sz w:val="28"/>
          <w:szCs w:val="28"/>
          <w:lang w:val="uk-UA"/>
        </w:rPr>
        <w:t xml:space="preserve"> у діяльності Казначейства, Комісією визначено </w:t>
      </w:r>
      <w:r>
        <w:rPr>
          <w:sz w:val="28"/>
          <w:szCs w:val="28"/>
          <w:lang w:val="uk-UA"/>
        </w:rPr>
        <w:t>конкретні заходи</w:t>
      </w:r>
      <w:r w:rsidR="002B2A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B2A46">
        <w:rPr>
          <w:sz w:val="28"/>
          <w:szCs w:val="28"/>
          <w:lang w:val="uk-UA"/>
        </w:rPr>
        <w:t>спрямовані</w:t>
      </w:r>
      <w:r>
        <w:rPr>
          <w:sz w:val="28"/>
          <w:szCs w:val="28"/>
          <w:lang w:val="uk-UA"/>
        </w:rPr>
        <w:t xml:space="preserve"> на їх</w:t>
      </w:r>
      <w:r w:rsidR="002B2A46">
        <w:rPr>
          <w:sz w:val="28"/>
          <w:szCs w:val="28"/>
          <w:lang w:val="uk-UA"/>
        </w:rPr>
        <w:t>ню</w:t>
      </w:r>
      <w:r>
        <w:rPr>
          <w:sz w:val="28"/>
          <w:szCs w:val="28"/>
          <w:lang w:val="uk-UA"/>
        </w:rPr>
        <w:t xml:space="preserve"> мінімізацію та усунення. </w:t>
      </w:r>
    </w:p>
    <w:p w:rsidR="00304538" w:rsidRPr="007C271E" w:rsidRDefault="00304538" w:rsidP="00E4217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результатами проведеної роботи затверджено Звіт (додаток до антикорупційної програми), який включає опис ідентифікованих корупційних ризиків, чинників корупційних ризиків та можливих наслідків корупційного правопорушення чи правопорушення, пов’язаного з корупцією (додаток 1 до Звіту), а також таблицю оцінених корупційних ризиків та заходів щодо їх усунення</w:t>
      </w:r>
      <w:r w:rsidR="0073128F" w:rsidRP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із зазначенням переліку осіб, відповідальних за виконання заходів щодо усунення корупційного ризику, терміну виконання заходів, необхідних ресурсів та очікуваних результатів</w:t>
      </w:r>
      <w:r w:rsidRP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(додаток 2 до Звіту).</w:t>
      </w:r>
    </w:p>
    <w:p w:rsidR="0047350F" w:rsidRPr="0047350F" w:rsidRDefault="0047350F" w:rsidP="00304538">
      <w:pPr>
        <w:pStyle w:val="1"/>
        <w:spacing w:after="0" w:line="240" w:lineRule="auto"/>
        <w:ind w:left="561" w:firstLine="900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2B2A46" w:rsidRDefault="00304538" w:rsidP="002B2A46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Навчання та заходи з поширення інформації</w:t>
      </w:r>
    </w:p>
    <w:p w:rsidR="00304538" w:rsidRPr="00C90991" w:rsidRDefault="00304538" w:rsidP="002B2A46">
      <w:pPr>
        <w:pStyle w:val="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щодо програм антикорупційного сп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рямування</w:t>
      </w:r>
    </w:p>
    <w:p w:rsidR="00304538" w:rsidRPr="00B7522E" w:rsidRDefault="00304538" w:rsidP="00304538">
      <w:pPr>
        <w:pStyle w:val="1"/>
        <w:spacing w:after="0" w:line="240" w:lineRule="auto"/>
        <w:ind w:left="921" w:firstLine="900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304538" w:rsidRDefault="0030453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2" w:name="n253"/>
      <w:bookmarkEnd w:id="12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Навчання працівників Казначейства у сфері запобігання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коруп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ції здійснюється з метою набуття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ними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базових знань 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сфері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антикорупційного законодавства, формування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нетерпимості до корупції.</w:t>
      </w:r>
    </w:p>
    <w:p w:rsidR="00304538" w:rsidRDefault="0030453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3" w:name="n262"/>
      <w:bookmarkEnd w:id="13"/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Тематика та форма заходів (семінари, ле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кції, практикуми, тренінги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самопідготовка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тощо) визначаються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урахуванням:</w:t>
      </w:r>
    </w:p>
    <w:p w:rsidR="00A47AF2" w:rsidRPr="00C90991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1) змін в антикорупційному законодавстві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A47AF2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4" w:name="n263"/>
      <w:bookmarkEnd w:id="14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результатів аналізу причин та наслідків встановлених фактів правопорушень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пов’язаних з корупцією;</w:t>
      </w:r>
    </w:p>
    <w:p w:rsidR="00304538" w:rsidRPr="00C90991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3)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пропозицій керівництва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Казначейства, керівників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самостійних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структурних підрозділів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апарату Казначейства, керівників територіальних органів Казначейства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8E3568" w:rsidRPr="00C90991" w:rsidRDefault="00A47AF2" w:rsidP="008E356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5" w:name="n264"/>
      <w:bookmarkEnd w:id="15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прийнятих рішень</w:t>
      </w:r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роз</w:t>
      </w:r>
      <w:r w:rsidR="008E3568" w:rsidRPr="006F14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’</w:t>
      </w:r>
      <w:proofErr w:type="spellStart"/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яснень</w:t>
      </w:r>
      <w:proofErr w:type="spellEnd"/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Національного агентств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з питань запобігання корупції;</w:t>
      </w:r>
    </w:p>
    <w:p w:rsidR="00304538" w:rsidRPr="00C90991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</w:t>
      </w:r>
      <w:r w:rsidR="00F064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 оцінки виконання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заходів 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програми;</w:t>
      </w:r>
    </w:p>
    <w:p w:rsidR="00F0640D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6" w:name="n265"/>
      <w:bookmarkEnd w:id="16"/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результатів періодичної оцінки корупційних ризиків</w:t>
      </w:r>
      <w:r w:rsidR="00F064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04538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7" w:name="n266"/>
      <w:bookmarkEnd w:id="17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</w:t>
      </w:r>
      <w:r w:rsidR="006F14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льтатів внутрішн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ього аудиту та службових розслідувань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34DD6" w:rsidRDefault="00CD5A9D" w:rsidP="00CD5A9D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8" w:name="n260"/>
      <w:bookmarkEnd w:id="18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авчання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здійснюється відпов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ідно до затвердженого Головою 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 Плану</w:t>
      </w:r>
      <w:r w:rsidR="00465BB3" w:rsidRPr="00465B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5C5A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професійного навчання державних службовців 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Державної казначейської служби України</w:t>
      </w:r>
      <w:r w:rsidR="00A47AF2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яким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передбачено підвищення кваліфікації керівних працівників та спеціалістів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апарату Казначейства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в тому числі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і 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ротидії корупції. А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нтикорупційна складова присутня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також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 навчальних програмах передбаченого Планом-графіком підвищення кваліфікації за професійною програмою начальників управлінь</w:t>
      </w:r>
      <w:r w:rsidR="00304538"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 у районах, районах у містах, містах обласного значення та їх заступників, начальників відділів надходжень та видатків, начальників відділів звітності та бухгалтерського обліку управлінь Казначейства у районах, районах у містах, містах обласного значення (навчання на центральному рівні), керівних працівників та спеціалістів головних управл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інь Казначейства в областях та </w:t>
      </w:r>
      <w:r w:rsidR="00304538"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м. Києві за професійною програмою, тематичними постійно діючими та короткотерміновими семінарами (навчання на регіональному рівні).</w:t>
      </w:r>
      <w:bookmarkStart w:id="19" w:name="n261"/>
      <w:bookmarkEnd w:id="19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B2A46" w:rsidRDefault="002B2A46" w:rsidP="009F084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Одним із напрям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 поширення інформац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ії антикорупційного спрямування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 підготовка відомчих навчальних матеріалів. </w:t>
      </w:r>
      <w:r w:rsidR="00CD5A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Головою Казначейства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затверджено План-графік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проведення навчання в Державній казначейській службі України з метою підвищення рівня знань у сфері запобігання корупції у 201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році (далі –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План-графік). </w:t>
      </w:r>
    </w:p>
    <w:p w:rsidR="0014767C" w:rsidRDefault="002B2A46" w:rsidP="009F084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Так, у</w:t>
      </w:r>
      <w:r w:rsidR="00F260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квітні</w:t>
      </w:r>
      <w:r w:rsidR="002F4F6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грудні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2019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рок</w:t>
      </w:r>
      <w:r w:rsidR="00EA2BE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заплановано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A2BE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проведення навчання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для державних службовців апарату Казначейства та його територіальних органів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темами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«Засади антикорупційної політики в Україні»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09158C" w:rsidRPr="0093234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1E2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Відповідальність за корупційні або пов’язані з корупцією правопорушення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1E2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«В</w:t>
      </w:r>
      <w:r w:rsidR="000B419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икривачі корупції. Гарантії захисту викривачів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0B419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«Вимоги, заборони та обмеження, що встановлені Законом України 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 запобігання корупції», «Запобігання, виявлення та врегулювання конфлікту інтересів», «Правила етичної поведінки осіб, уповноважених на виконання функцій держави», «Фінансовий контроль». Для уповноважених осіб з питань запобігання та виявлення корупції територіальних органів Казначейства, заплановано проведення навчан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ь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темами: «О</w:t>
      </w:r>
      <w:r w:rsidR="000B419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кремі аспекти функціонування уповноважених підрозділів з питань запобігання та виявлення корупції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0B419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«Антикорупційний контроль при прийнятті кандидата на державну службу»</w:t>
      </w:r>
      <w:r w:rsidR="00F260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304538" w:rsidRPr="0093234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F34DD6" w:rsidRPr="00C90991" w:rsidRDefault="007238D3" w:rsidP="009F084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Вивчення ц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ієї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тематики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спрямоване на формування антикорупційної поведінки працівників </w:t>
      </w:r>
      <w:r w:rsidR="00CD5A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підвищення їх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ніх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знань та 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навичок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частині практичного застосування антикорупційного законодавства.</w:t>
      </w:r>
      <w:r w:rsidR="009F084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34DD6" w:rsidRPr="0050139A" w:rsidRDefault="00506207" w:rsidP="00F34DD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n258"/>
      <w:bookmarkStart w:id="21" w:name="n259"/>
      <w:bookmarkEnd w:id="20"/>
      <w:bookmarkEnd w:id="21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Одним з 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елементів діяльності Казначейства 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ці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сфері є заходи із 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залучення працівників до участі в </w:t>
      </w:r>
      <w:r w:rsidR="00F34DD6" w:rsidRPr="0050139A">
        <w:rPr>
          <w:rFonts w:ascii="Times New Roman" w:hAnsi="Times New Roman"/>
          <w:sz w:val="28"/>
          <w:szCs w:val="28"/>
          <w:lang w:val="uk-UA"/>
        </w:rPr>
        <w:t>он</w:t>
      </w:r>
      <w:r>
        <w:rPr>
          <w:rFonts w:ascii="Times New Roman" w:hAnsi="Times New Roman"/>
          <w:sz w:val="28"/>
          <w:szCs w:val="28"/>
          <w:lang w:val="uk-UA"/>
        </w:rPr>
        <w:t xml:space="preserve">-лайн </w:t>
      </w:r>
      <w:r w:rsidR="00F34DD6" w:rsidRPr="0050139A">
        <w:rPr>
          <w:rFonts w:ascii="Times New Roman" w:hAnsi="Times New Roman"/>
          <w:sz w:val="28"/>
          <w:szCs w:val="28"/>
          <w:lang w:val="uk-UA"/>
        </w:rPr>
        <w:t>курс</w:t>
      </w:r>
      <w:r w:rsidR="004C5C5A">
        <w:rPr>
          <w:rFonts w:ascii="Times New Roman" w:hAnsi="Times New Roman"/>
          <w:sz w:val="28"/>
          <w:szCs w:val="28"/>
          <w:lang w:val="uk-UA"/>
        </w:rPr>
        <w:t>ах на платформі</w:t>
      </w:r>
      <w:r w:rsidR="004C5C5A" w:rsidRPr="004C5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B8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4C5C5A">
        <w:rPr>
          <w:rFonts w:ascii="Times New Roman" w:hAnsi="Times New Roman"/>
          <w:sz w:val="28"/>
          <w:szCs w:val="28"/>
          <w:lang w:val="en-US"/>
        </w:rPr>
        <w:t>Prometeus</w:t>
      </w:r>
      <w:proofErr w:type="spellEnd"/>
      <w:r w:rsidR="00BA7B87">
        <w:rPr>
          <w:rFonts w:ascii="Times New Roman" w:hAnsi="Times New Roman"/>
          <w:sz w:val="28"/>
          <w:szCs w:val="28"/>
          <w:lang w:val="uk-UA"/>
        </w:rPr>
        <w:t>», інших он</w:t>
      </w:r>
      <w:r>
        <w:rPr>
          <w:rFonts w:ascii="Times New Roman" w:hAnsi="Times New Roman"/>
          <w:sz w:val="28"/>
          <w:szCs w:val="28"/>
          <w:lang w:val="uk-UA"/>
        </w:rPr>
        <w:t xml:space="preserve">-лайн </w:t>
      </w:r>
      <w:r w:rsidR="00BA7B87">
        <w:rPr>
          <w:rFonts w:ascii="Times New Roman" w:hAnsi="Times New Roman"/>
          <w:sz w:val="28"/>
          <w:szCs w:val="28"/>
          <w:lang w:val="uk-UA"/>
        </w:rPr>
        <w:t>курс</w:t>
      </w:r>
      <w:r w:rsidR="0014767C">
        <w:rPr>
          <w:rFonts w:ascii="Times New Roman" w:hAnsi="Times New Roman"/>
          <w:sz w:val="28"/>
          <w:szCs w:val="28"/>
          <w:lang w:val="uk-UA"/>
        </w:rPr>
        <w:t>ах антикорупційного спрямування</w:t>
      </w:r>
      <w:r w:rsidR="00BA7B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BA7B87">
        <w:rPr>
          <w:rFonts w:ascii="Times New Roman" w:hAnsi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/>
          <w:sz w:val="28"/>
          <w:szCs w:val="28"/>
          <w:lang w:val="uk-UA"/>
        </w:rPr>
        <w:t>го доведення</w:t>
      </w:r>
      <w:r w:rsidR="00BA7B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E43">
        <w:rPr>
          <w:rFonts w:ascii="Times New Roman" w:hAnsi="Times New Roman"/>
          <w:sz w:val="28"/>
          <w:szCs w:val="28"/>
          <w:lang w:val="uk-UA"/>
        </w:rPr>
        <w:t>до відома держ</w:t>
      </w:r>
      <w:r w:rsidR="004C5C5A" w:rsidRPr="004C5C5A">
        <w:rPr>
          <w:rFonts w:ascii="Times New Roman" w:hAnsi="Times New Roman"/>
          <w:sz w:val="28"/>
          <w:szCs w:val="28"/>
          <w:lang w:val="uk-UA"/>
        </w:rPr>
        <w:t xml:space="preserve">авних </w:t>
      </w:r>
      <w:r w:rsidR="007A3E43">
        <w:rPr>
          <w:rFonts w:ascii="Times New Roman" w:hAnsi="Times New Roman"/>
          <w:sz w:val="28"/>
          <w:szCs w:val="28"/>
          <w:lang w:val="uk-UA"/>
        </w:rPr>
        <w:t>службовців змін в антикорупційному законодавстві.</w:t>
      </w:r>
    </w:p>
    <w:p w:rsidR="00F34DD6" w:rsidRDefault="004C5C5A" w:rsidP="00F34DD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офіційному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еб-порталі</w:t>
      </w:r>
      <w:proofErr w:type="spellEnd"/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 в рубриці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Діяльність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створено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розділ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Запобігання прояв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ам корупції»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04538" w:rsidRPr="00C90991" w:rsidRDefault="00304538" w:rsidP="004505DA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2" w:name="n267"/>
      <w:bookmarkStart w:id="23" w:name="n268"/>
      <w:bookmarkStart w:id="24" w:name="n269"/>
      <w:bookmarkEnd w:id="22"/>
      <w:bookmarkEnd w:id="23"/>
      <w:bookmarkEnd w:id="24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отриманням роз’яснень (усних чи письмових) щодо вимог</w:t>
      </w:r>
      <w:r w:rsidR="00F150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заборон та обмежень, які встановлені Законом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України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 запобігання корупції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також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щодо </w:t>
      </w:r>
      <w:r w:rsidR="00F150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тлумачення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окремих положень 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рограми</w:t>
      </w:r>
      <w:r w:rsidR="007A3E4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працівники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апарату Казначейства можуть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звер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татися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уповноваженого </w:t>
      </w:r>
      <w:bookmarkStart w:id="25" w:name="n254"/>
      <w:bookmarkEnd w:id="25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підрозділу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та виявлення корупції апарату Казначейства (далі – уповноважений підрозділ)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працівники територіальних органів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 – до уповноважених осіб з питань запобігання та виявлення корупції головних управлінь Казначейства в областях та м. Києві (далі – уповноважені особи)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Суть звернення щодо надання роз’яснення чи консульта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ції викладається безпосередньо керівникові уповноваженого підрозділу або уповноваженій особі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визн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ачені у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повноваженим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підрозділом/уповноваженою особою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дні та години особистого прийому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або шляхом направлення на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ім’я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керівника уповноваженого підрозділу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уповноваженої особи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службової записки чи над</w:t>
      </w:r>
      <w:r w:rsidR="00C003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силання на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електронну</w:t>
      </w:r>
      <w:r w:rsidR="00C003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поштову скриньку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письмового звернення у довільній формі.</w:t>
      </w:r>
      <w:bookmarkStart w:id="26" w:name="n255"/>
      <w:bookmarkEnd w:id="26"/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Уповноважений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підрозділ/уповноважена особа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надає усне роз’яснення під час особистого прийому або у письмовій формі </w:t>
      </w:r>
      <w:r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не пізніше 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-ти робочих днів і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дня отримання запиту.</w:t>
      </w:r>
      <w:bookmarkStart w:id="27" w:name="n256"/>
      <w:bookmarkEnd w:id="27"/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Уповноважений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підрозділ/уповноважена особа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може продовжити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розгляду звернення, але не більше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 на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5 робочих днів, про що письмово інформує особу, яка звернулас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роз’ясненням.</w:t>
      </w:r>
    </w:p>
    <w:p w:rsidR="00F34DD6" w:rsidRPr="005A0C92" w:rsidRDefault="00F34DD6" w:rsidP="00304538">
      <w:pPr>
        <w:pStyle w:val="1"/>
        <w:spacing w:after="0" w:line="240" w:lineRule="auto"/>
        <w:ind w:left="561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  <w:bookmarkStart w:id="28" w:name="n257"/>
      <w:bookmarkEnd w:id="28"/>
    </w:p>
    <w:p w:rsidR="00506207" w:rsidRDefault="00304538" w:rsidP="00506207">
      <w:pPr>
        <w:pStyle w:val="1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Процедура щодо моніторингу, оцінки виконання та </w:t>
      </w:r>
    </w:p>
    <w:p w:rsidR="00304538" w:rsidRPr="00C90991" w:rsidRDefault="00506207" w:rsidP="00506207">
      <w:pPr>
        <w:pStyle w:val="1"/>
        <w:spacing w:after="0" w:line="240" w:lineRule="auto"/>
        <w:ind w:left="1080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304538"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періодичного пер</w:t>
      </w:r>
      <w:r w:rsidR="0030453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егляду антикорупційної програми</w:t>
      </w:r>
    </w:p>
    <w:p w:rsidR="00304538" w:rsidRPr="00B7522E" w:rsidRDefault="00304538" w:rsidP="00304538">
      <w:pPr>
        <w:pStyle w:val="1"/>
        <w:spacing w:after="0" w:line="240" w:lineRule="auto"/>
        <w:ind w:left="921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550247" w:rsidRDefault="007A3E43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Моніторинг передбачених А</w:t>
      </w:r>
      <w:r w:rsidR="009A17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нтикорупційною програмою заходів</w:t>
      </w:r>
      <w:r w:rsidR="007012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щодо запо</w:t>
      </w:r>
      <w:r w:rsidR="004E72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бігання корупції </w:t>
      </w:r>
      <w:r w:rsidR="0055024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не рідше одного разу на квартал </w:t>
      </w:r>
      <w:r w:rsidR="007012F4" w:rsidRP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здійснює</w:t>
      </w:r>
      <w:r w:rsidR="0055024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Комісія.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 час моніторингу здійснюється оцінка її ефективності за критеріями: дотримання термінів виконання, повнот</w:t>
      </w:r>
      <w:r w:rsid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 реалізації визначених заходів,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839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оцінки досягнення мети, які визначено у додатку 2 до Звіту за результатами оцінки корупційних ризиків в діяльності Державної казначейської служби України («Таблиця оцінених корупційних ризиків та заходів щодо їх усунення»).</w:t>
      </w:r>
    </w:p>
    <w:p w:rsidR="00B002DA" w:rsidRDefault="00B002DA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Комісія</w:t>
      </w:r>
      <w:r w:rsidR="00982C6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тримує</w:t>
      </w:r>
      <w:r w:rsidR="00982C6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самостійних структурних підрозділів апарату Казначейства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982C6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його територіальних органів інформацію та документи, </w:t>
      </w:r>
      <w:r w:rsidR="00982C6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необхідні для надання об’єктивної та неупередженої оцінки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корупційних ризиків</w:t>
      </w:r>
      <w:r w:rsidR="007D16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аналізу ефективності запланованих заходів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43BC2" w:rsidRDefault="004E726F" w:rsidP="00394211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Комісія проводить оцінку ефективності виконання заходів щодо усунення корупційних ризиків </w:t>
      </w:r>
      <w:r w:rsidR="003B552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також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результатами заслуховування керівників самостійних структурних підрозділів</w:t>
      </w:r>
      <w:r w:rsidR="003B552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інших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посадових осіб</w:t>
      </w:r>
      <w:r w:rsidR="00B002DA" w:rsidRPr="00DB0F5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апарату Казначейства,</w:t>
      </w:r>
      <w:r w:rsidR="003B552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відповідальних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B552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виконання заходів, 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керівників територіальних органів Казначейства</w:t>
      </w:r>
      <w:r w:rsidR="00B77F3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уповноваженого підрозділу,</w:t>
      </w:r>
      <w:r w:rsidR="00B002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уповноважених</w:t>
      </w:r>
      <w:r w:rsidR="001C50E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осіб </w:t>
      </w:r>
      <w:r w:rsidR="00B77F3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за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реби</w:t>
      </w:r>
      <w:r w:rsidR="0039421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A40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ініціює перед </w:t>
      </w:r>
      <w:r w:rsidR="0039421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Головою Казначейства питання щодо</w:t>
      </w:r>
      <w:r w:rsidR="007D16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внесення змін до А</w:t>
      </w:r>
      <w:r w:rsidR="003A40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програми.</w:t>
      </w:r>
    </w:p>
    <w:p w:rsidR="00735BD2" w:rsidRDefault="00735BD2" w:rsidP="00B77F3E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Уповноважений підрозділ здійснює п</w:t>
      </w:r>
      <w:r w:rsidR="00AA04B2">
        <w:rPr>
          <w:sz w:val="28"/>
          <w:szCs w:val="28"/>
          <w:lang w:val="uk-UA"/>
        </w:rPr>
        <w:t>оточний контроль</w:t>
      </w:r>
      <w:r w:rsidR="006510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виконанням </w:t>
      </w:r>
      <w:r w:rsidR="00651089">
        <w:rPr>
          <w:sz w:val="28"/>
          <w:szCs w:val="28"/>
          <w:lang w:val="uk-UA"/>
        </w:rPr>
        <w:t>заходів, передбачених антикорупційною програмою</w:t>
      </w:r>
      <w:r w:rsidR="00AA04B2">
        <w:rPr>
          <w:sz w:val="28"/>
          <w:szCs w:val="28"/>
          <w:lang w:val="uk-UA"/>
        </w:rPr>
        <w:t>,</w:t>
      </w:r>
      <w:r w:rsidR="0010467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подає відповідні матеріали</w:t>
      </w:r>
      <w:r w:rsidR="0010467A">
        <w:rPr>
          <w:sz w:val="28"/>
          <w:szCs w:val="28"/>
          <w:lang w:val="uk-UA"/>
        </w:rPr>
        <w:t xml:space="preserve"> на розгляд Комісії</w:t>
      </w:r>
      <w:r>
        <w:rPr>
          <w:sz w:val="28"/>
          <w:szCs w:val="28"/>
          <w:lang w:val="uk-UA"/>
        </w:rPr>
        <w:t>.</w:t>
      </w:r>
      <w:r w:rsidR="00104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Уповноважені особи звітують перед уповноваженим підрозділом щодо виконання заходів </w:t>
      </w:r>
      <w:r w:rsidR="0014767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частині, що стосується територіальних органів Казначейства.</w:t>
      </w:r>
    </w:p>
    <w:p w:rsidR="00A26B93" w:rsidRDefault="00A26B93" w:rsidP="00651089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Уповноважений підрозділ та уповноважені особи здійснюють контроль шляхом:</w:t>
      </w:r>
    </w:p>
    <w:p w:rsidR="009429B6" w:rsidRDefault="00A26B93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розгляд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та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реагу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вання на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</w:t>
      </w:r>
      <w:r w:rsidR="00B77F3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відомлення про </w:t>
      </w:r>
      <w:r w:rsidR="009429B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стан виконання заходів, передбачених антикорупційною програмою;</w:t>
      </w:r>
    </w:p>
    <w:p w:rsidR="00304538" w:rsidRPr="00C90991" w:rsidRDefault="00A26B93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9" w:name="n213"/>
      <w:bookmarkStart w:id="30" w:name="n214"/>
      <w:bookmarkEnd w:id="29"/>
      <w:bookmarkEnd w:id="3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проведення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межах компетенції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планових та позапланових </w:t>
      </w:r>
      <w:r w:rsidR="00EC165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перевірок </w:t>
      </w:r>
      <w:r w:rsidR="00F654A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органів Казначейства з питань виконання антикорупційного законодавства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82C6D" w:rsidRDefault="00982C6D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1" w:name="n215"/>
      <w:bookmarkEnd w:id="31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A26B9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часті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r w:rsidR="000C5F3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експертиз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EC165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нормативно-правових актів</w:t>
      </w:r>
      <w:r w:rsidR="000C5F3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26B9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також</w:t>
      </w:r>
      <w:r w:rsidR="00EC165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5F3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організаційно-розпорядчих документів Казначейства</w:t>
      </w:r>
      <w:r w:rsidR="00ED23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D4070" w:rsidRDefault="006D4070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Антикорупційна програ</w:t>
      </w:r>
      <w:r w:rsidR="00BD4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перегля</w:t>
      </w:r>
      <w:r w:rsidR="00BD4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дається</w:t>
      </w:r>
      <w:r w:rsidR="00BD456F" w:rsidRPr="00BD4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D4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разі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01AF0" w:rsidRDefault="00501AF0" w:rsidP="00A9465F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7D16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атвердження державної програми з виконання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Антикорупційної стратегії (в місячний 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опублікування);</w:t>
      </w:r>
    </w:p>
    <w:p w:rsidR="00A9465F" w:rsidRPr="00CE3568" w:rsidRDefault="00501AF0" w:rsidP="00A9465F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прийняття нових </w:t>
      </w:r>
      <w:r w:rsidR="007D16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законодавчих та нормативних актів антикорупційної спрямованості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(в місячний 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опублікування);</w:t>
      </w:r>
    </w:p>
    <w:p w:rsidR="00F654A3" w:rsidRDefault="00925020" w:rsidP="00F654A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внесення</w:t>
      </w:r>
      <w:r w:rsidR="00F654A3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Національним агентством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корупції</w:t>
      </w:r>
      <w:r w:rsidR="00F654A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654A3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обов’я</w:t>
      </w:r>
      <w:r w:rsidR="00F654A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зкових для</w:t>
      </w:r>
      <w:r w:rsidR="00F654A3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розгляду пропозиц</w:t>
      </w:r>
      <w:r w:rsidR="00F654A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ій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  <w:r w:rsidR="00F654A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D4070" w:rsidRDefault="006D4070" w:rsidP="00F654A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ідентифі</w:t>
      </w:r>
      <w:r w:rsidR="00BD4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кації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нових корупційних ризиків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місячний 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ідентифікації)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D1607" w:rsidRDefault="006D4070" w:rsidP="006D407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прийняття або внесення змін до нормативно-правових актів з питань діяльності Казначейства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(в місячний </w:t>
      </w:r>
      <w:r w:rsidR="0020563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="00501A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внесення змін)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D4070" w:rsidRDefault="007D1607" w:rsidP="006D407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результатами оцінки виконання заходів, передбачених Антикорупційною програмою</w:t>
      </w:r>
      <w:r w:rsidR="00C839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у разі встановлення їх неефективності.</w:t>
      </w:r>
      <w:r w:rsidR="006D407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C1C7A" w:rsidRDefault="00205635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2" w:name="n216"/>
      <w:bookmarkEnd w:id="32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Зміни до А</w:t>
      </w:r>
      <w:r w:rsidR="007C1C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 вно</w:t>
      </w:r>
      <w:r w:rsidR="00CD535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сяться відповідно до наказу </w:t>
      </w:r>
      <w:r w:rsidR="007C1C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 за погодженням з Національним агентством з питань запобігання корупції.</w:t>
      </w:r>
    </w:p>
    <w:p w:rsidR="008A573C" w:rsidRDefault="008A573C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05635" w:rsidRDefault="008A573C" w:rsidP="00205635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3" w:name="n302"/>
      <w:bookmarkStart w:id="34" w:name="n303"/>
      <w:bookmarkEnd w:id="33"/>
      <w:bookmarkEnd w:id="34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Інші заходи</w:t>
      </w:r>
      <w:r w:rsidR="0014767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спрямовані на запобігання корупційним</w:t>
      </w:r>
    </w:p>
    <w:p w:rsidR="008A573C" w:rsidRPr="00C90991" w:rsidRDefault="00205635" w:rsidP="00205635">
      <w:pPr>
        <w:pStyle w:val="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8A573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та пов’яза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ним з корупцією правопорушенням</w:t>
      </w:r>
    </w:p>
    <w:p w:rsidR="008A573C" w:rsidRPr="00B7522E" w:rsidRDefault="008A573C" w:rsidP="008A573C">
      <w:pPr>
        <w:pStyle w:val="1"/>
        <w:spacing w:after="0" w:line="240" w:lineRule="auto"/>
        <w:ind w:left="921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304538" w:rsidRDefault="008A573C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Pr="008A573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Казначействі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створено уповноважений підрозділ – Сектор з питань запобіга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ння та виявлення корупції (далі</w:t>
      </w:r>
      <w:r w:rsidR="002F4F6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Сектор), який підпорядковується Голові Казначейства та функціонально відповідає за планування, організацію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lastRenderedPageBreak/>
        <w:t>та здійснення заходів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спрямованих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на запобігання та виявлення корупції відповідно до Полож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ення про Сектор, затвердженого 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аказом  Казначейства від 04.07.2018 № 229.</w:t>
      </w:r>
    </w:p>
    <w:p w:rsidR="00CA44C5" w:rsidRDefault="00CA44C5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З метою виконання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покладених на Сектор обов’язків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забезпечено участь його працівників </w:t>
      </w:r>
      <w:r w:rsidR="0014767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роботі Кадрової 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комісії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Державної казначейської служби України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Д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исциплінарної комісії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Державної казначейської служби України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ендерного комітету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Державної казначейської служби України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BC2B94" w:rsidRDefault="00BC2B94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З метою створення умов викривачам для надання інформації про корупційні або пов’язані 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з корупцією правопорушення, на офіційному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еб-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порталі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Казначейства розміщено посилання «Повідом про корупцію» та викладено інформацію про права викривачів, 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контакти уповноважених осіб,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способи та порядок надання інформації. Ана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логічні посилання розміщено на </w:t>
      </w:r>
      <w:proofErr w:type="spellStart"/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еб-сторінках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головних управлінь Казначейства в областях та м. Києві.</w:t>
      </w:r>
    </w:p>
    <w:p w:rsidR="00CA44C5" w:rsidRDefault="00CA44C5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З метою забезпечення максимальної про</w:t>
      </w:r>
      <w:r w:rsidR="00B10C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зорості діяльності Казначейства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забезпечено доступ громадськості до обговорення проектів нормативно-правових актів, плану роботи С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ектора, до публічної інформації,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розміщеної на 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офіційному </w:t>
      </w:r>
      <w:proofErr w:type="spellStart"/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 w:rsidR="00B10C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еб-порталі</w:t>
      </w:r>
      <w:proofErr w:type="spellEnd"/>
      <w:r w:rsidR="00B10C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Казначейства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CA44C5" w:rsidRPr="008A573C" w:rsidRDefault="00CA44C5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</w:t>
      </w:r>
    </w:p>
    <w:p w:rsidR="00B10C85" w:rsidRDefault="00B10C85" w:rsidP="000908D2">
      <w:pPr>
        <w:pStyle w:val="1"/>
        <w:spacing w:after="0" w:line="240" w:lineRule="auto"/>
        <w:ind w:left="0" w:firstLine="900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205EF" w:rsidRPr="00B432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Додаток:</w:t>
      </w:r>
      <w:r w:rsidR="009F7144" w:rsidRPr="00B432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10C85" w:rsidRDefault="00B10C85" w:rsidP="00B10C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10C85">
        <w:rPr>
          <w:rFonts w:ascii="Times New Roman" w:hAnsi="Times New Roman"/>
          <w:sz w:val="28"/>
          <w:szCs w:val="28"/>
          <w:lang w:val="uk-UA"/>
        </w:rPr>
        <w:t xml:space="preserve">Звіт за результатами оцінки корупційних ризиків у діяльності Державної казначейської служби України 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додатками на 21 арк. в 1 прим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.;</w:t>
      </w:r>
    </w:p>
    <w:p w:rsidR="00B10C85" w:rsidRPr="00B10C85" w:rsidRDefault="00B10C85" w:rsidP="00B10C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10C85">
        <w:rPr>
          <w:rFonts w:ascii="Times New Roman" w:hAnsi="Times New Roman"/>
          <w:sz w:val="28"/>
          <w:szCs w:val="28"/>
          <w:lang w:val="uk-UA"/>
        </w:rPr>
        <w:t xml:space="preserve">План-графік проведення навчання в Державній казначейській службі України з метою підвищення рівня знань у сфері запобігання корупції </w:t>
      </w:r>
      <w:r w:rsidR="0014767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10C85">
        <w:rPr>
          <w:rFonts w:ascii="Times New Roman" w:hAnsi="Times New Roman"/>
          <w:sz w:val="28"/>
          <w:szCs w:val="28"/>
          <w:lang w:val="uk-UA"/>
        </w:rPr>
        <w:t xml:space="preserve">у 2019 році 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 w:rsidR="004627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арк. в 1 прим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04538" w:rsidRDefault="00B10C85" w:rsidP="000908D2">
      <w:pPr>
        <w:pStyle w:val="1"/>
        <w:spacing w:after="0" w:line="240" w:lineRule="auto"/>
        <w:ind w:left="0" w:firstLine="900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F697D" w:rsidRDefault="007F697D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501AF0" w:rsidRDefault="00501AF0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Головний спеціаліст Сектору з питань </w:t>
      </w:r>
    </w:p>
    <w:p w:rsidR="00F0497E" w:rsidRDefault="00501AF0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запобігання та виявлення корупції</w:t>
      </w:r>
      <w:r w:rsidR="00F0497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F4523D" w:rsidRDefault="00F0497E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аступник    </w:t>
      </w:r>
      <w:r w:rsidR="00687D4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г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олови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комісії 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687D4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оцінки </w:t>
      </w:r>
    </w:p>
    <w:p w:rsidR="00F4523D" w:rsidRDefault="00F4523D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к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орупційних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ризиків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та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687D43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моніторингу </w:t>
      </w:r>
      <w:r w:rsidR="00687D4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</w:p>
    <w:p w:rsidR="00F4523D" w:rsidRDefault="00687D43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виконання 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нтикорупційної </w:t>
      </w:r>
      <w:r w:rsidR="00F4523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програми </w:t>
      </w:r>
    </w:p>
    <w:p w:rsidR="00687D43" w:rsidRDefault="00687D43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Державної казначейської служби України    </w:t>
      </w:r>
      <w:r w:rsidR="00501AF0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         М.Ю. </w:t>
      </w:r>
      <w:proofErr w:type="spellStart"/>
      <w:r w:rsidR="00501AF0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Постников</w:t>
      </w:r>
      <w:proofErr w:type="spellEnd"/>
    </w:p>
    <w:p w:rsidR="00A42304" w:rsidRDefault="00A42304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687D43" w:rsidRPr="00412F92" w:rsidRDefault="00687D43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04538">
        <w:rPr>
          <w:rFonts w:ascii="Times New Roman" w:hAnsi="Times New Roman"/>
          <w:bCs/>
          <w:color w:val="000000"/>
          <w:sz w:val="28"/>
          <w:szCs w:val="28"/>
          <w:lang w:eastAsia="ru-RU"/>
        </w:rPr>
        <w:t>“</w:t>
      </w:r>
      <w:r w:rsidRPr="00412F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___</w:t>
      </w:r>
      <w:r w:rsidRPr="00304538">
        <w:rPr>
          <w:rFonts w:ascii="Times New Roman" w:hAnsi="Times New Roman"/>
          <w:bCs/>
          <w:color w:val="000000"/>
          <w:sz w:val="28"/>
          <w:szCs w:val="28"/>
          <w:lang w:eastAsia="ru-RU"/>
        </w:rPr>
        <w:t>”</w:t>
      </w:r>
      <w:r w:rsidR="005A0C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01AF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березня</w:t>
      </w:r>
      <w:r w:rsidR="005A0C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01AF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2019</w:t>
      </w:r>
      <w:r w:rsidRPr="00412F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687D43" w:rsidRPr="00412F92" w:rsidRDefault="00687D43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sectPr w:rsidR="00687D43" w:rsidRPr="00412F92" w:rsidSect="00CA44C5">
      <w:headerReference w:type="even" r:id="rId7"/>
      <w:headerReference w:type="default" r:id="rId8"/>
      <w:pgSz w:w="11906" w:h="16838"/>
      <w:pgMar w:top="107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EA" w:rsidRDefault="00C277EA">
      <w:r>
        <w:separator/>
      </w:r>
    </w:p>
  </w:endnote>
  <w:endnote w:type="continuationSeparator" w:id="0">
    <w:p w:rsidR="00C277EA" w:rsidRDefault="00C2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EA" w:rsidRDefault="00C277EA">
      <w:r>
        <w:separator/>
      </w:r>
    </w:p>
  </w:footnote>
  <w:footnote w:type="continuationSeparator" w:id="0">
    <w:p w:rsidR="00C277EA" w:rsidRDefault="00C2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EA" w:rsidRDefault="00E96E17" w:rsidP="002541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7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77EA" w:rsidRDefault="00C277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EA" w:rsidRPr="00C25E2D" w:rsidRDefault="00E96E17" w:rsidP="00C25E2D">
    <w:pPr>
      <w:pStyle w:val="a3"/>
      <w:framePr w:wrap="around" w:vAnchor="text" w:hAnchor="margin" w:xAlign="center" w:y="1"/>
      <w:spacing w:after="0" w:line="240" w:lineRule="auto"/>
      <w:rPr>
        <w:rStyle w:val="a4"/>
        <w:rFonts w:ascii="Times New Roman" w:hAnsi="Times New Roman"/>
      </w:rPr>
    </w:pPr>
    <w:r w:rsidRPr="00C25E2D">
      <w:rPr>
        <w:rStyle w:val="a4"/>
        <w:rFonts w:ascii="Times New Roman" w:hAnsi="Times New Roman"/>
      </w:rPr>
      <w:fldChar w:fldCharType="begin"/>
    </w:r>
    <w:r w:rsidR="00C277EA" w:rsidRPr="00C25E2D">
      <w:rPr>
        <w:rStyle w:val="a4"/>
        <w:rFonts w:ascii="Times New Roman" w:hAnsi="Times New Roman"/>
      </w:rPr>
      <w:instrText xml:space="preserve">PAGE  </w:instrText>
    </w:r>
    <w:r w:rsidRPr="00C25E2D">
      <w:rPr>
        <w:rStyle w:val="a4"/>
        <w:rFonts w:ascii="Times New Roman" w:hAnsi="Times New Roman"/>
      </w:rPr>
      <w:fldChar w:fldCharType="separate"/>
    </w:r>
    <w:r w:rsidR="000E4B83">
      <w:rPr>
        <w:rStyle w:val="a4"/>
        <w:rFonts w:ascii="Times New Roman" w:hAnsi="Times New Roman"/>
        <w:noProof/>
      </w:rPr>
      <w:t>2</w:t>
    </w:r>
    <w:r w:rsidRPr="00C25E2D">
      <w:rPr>
        <w:rStyle w:val="a4"/>
        <w:rFonts w:ascii="Times New Roman" w:hAnsi="Times New Roman"/>
      </w:rPr>
      <w:fldChar w:fldCharType="end"/>
    </w:r>
  </w:p>
  <w:p w:rsidR="00C277EA" w:rsidRPr="00C25E2D" w:rsidRDefault="00C277EA" w:rsidP="00C25E2D">
    <w:pPr>
      <w:pStyle w:val="a3"/>
      <w:spacing w:after="0" w:line="240" w:lineRule="auto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39B"/>
    <w:multiLevelType w:val="hybridMultilevel"/>
    <w:tmpl w:val="95F67E04"/>
    <w:lvl w:ilvl="0" w:tplc="DA20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43"/>
    <w:rsid w:val="00005993"/>
    <w:rsid w:val="00007FDA"/>
    <w:rsid w:val="00026BAB"/>
    <w:rsid w:val="0002721E"/>
    <w:rsid w:val="00042A3D"/>
    <w:rsid w:val="0007325A"/>
    <w:rsid w:val="000841E3"/>
    <w:rsid w:val="000908D2"/>
    <w:rsid w:val="0009158C"/>
    <w:rsid w:val="000939F1"/>
    <w:rsid w:val="00095EEC"/>
    <w:rsid w:val="000A1942"/>
    <w:rsid w:val="000B419E"/>
    <w:rsid w:val="000B7401"/>
    <w:rsid w:val="000C5F39"/>
    <w:rsid w:val="000E4B83"/>
    <w:rsid w:val="000F66B7"/>
    <w:rsid w:val="0010467A"/>
    <w:rsid w:val="00105F37"/>
    <w:rsid w:val="001359CD"/>
    <w:rsid w:val="0014767C"/>
    <w:rsid w:val="001611B9"/>
    <w:rsid w:val="001B4D33"/>
    <w:rsid w:val="001C15C3"/>
    <w:rsid w:val="001C50E2"/>
    <w:rsid w:val="001E25DA"/>
    <w:rsid w:val="00205635"/>
    <w:rsid w:val="0021445A"/>
    <w:rsid w:val="002336D1"/>
    <w:rsid w:val="00252C0D"/>
    <w:rsid w:val="00254195"/>
    <w:rsid w:val="00260F02"/>
    <w:rsid w:val="00273C51"/>
    <w:rsid w:val="002757F5"/>
    <w:rsid w:val="0028763C"/>
    <w:rsid w:val="00294101"/>
    <w:rsid w:val="002A21C6"/>
    <w:rsid w:val="002B2A46"/>
    <w:rsid w:val="002F4F6C"/>
    <w:rsid w:val="00304538"/>
    <w:rsid w:val="00333C02"/>
    <w:rsid w:val="0034075C"/>
    <w:rsid w:val="00347676"/>
    <w:rsid w:val="00352522"/>
    <w:rsid w:val="00355B5A"/>
    <w:rsid w:val="0035659B"/>
    <w:rsid w:val="00394211"/>
    <w:rsid w:val="003A4015"/>
    <w:rsid w:val="003B552A"/>
    <w:rsid w:val="003E1A2E"/>
    <w:rsid w:val="003F29AD"/>
    <w:rsid w:val="004423F2"/>
    <w:rsid w:val="004505DA"/>
    <w:rsid w:val="00462730"/>
    <w:rsid w:val="00465BB3"/>
    <w:rsid w:val="0047350F"/>
    <w:rsid w:val="004855FF"/>
    <w:rsid w:val="00491099"/>
    <w:rsid w:val="004A3B3E"/>
    <w:rsid w:val="004C5C5A"/>
    <w:rsid w:val="004D4CB2"/>
    <w:rsid w:val="004E726F"/>
    <w:rsid w:val="004F4E2C"/>
    <w:rsid w:val="004F5751"/>
    <w:rsid w:val="0050139A"/>
    <w:rsid w:val="00501AF0"/>
    <w:rsid w:val="00506207"/>
    <w:rsid w:val="00542A1D"/>
    <w:rsid w:val="00545E5C"/>
    <w:rsid w:val="00550247"/>
    <w:rsid w:val="005634CE"/>
    <w:rsid w:val="005776E8"/>
    <w:rsid w:val="005832F3"/>
    <w:rsid w:val="00583492"/>
    <w:rsid w:val="00590963"/>
    <w:rsid w:val="005A0C92"/>
    <w:rsid w:val="005A54E8"/>
    <w:rsid w:val="005B4D3C"/>
    <w:rsid w:val="005C0B00"/>
    <w:rsid w:val="005E276A"/>
    <w:rsid w:val="00601F89"/>
    <w:rsid w:val="00651089"/>
    <w:rsid w:val="006605C1"/>
    <w:rsid w:val="00662216"/>
    <w:rsid w:val="006631C9"/>
    <w:rsid w:val="006755A0"/>
    <w:rsid w:val="00680389"/>
    <w:rsid w:val="00687474"/>
    <w:rsid w:val="00687D43"/>
    <w:rsid w:val="006A5416"/>
    <w:rsid w:val="006D4070"/>
    <w:rsid w:val="006E39FB"/>
    <w:rsid w:val="006E7764"/>
    <w:rsid w:val="006F143F"/>
    <w:rsid w:val="007012F4"/>
    <w:rsid w:val="00715AE0"/>
    <w:rsid w:val="007238D3"/>
    <w:rsid w:val="0073128F"/>
    <w:rsid w:val="007326DE"/>
    <w:rsid w:val="00735BD2"/>
    <w:rsid w:val="00745F83"/>
    <w:rsid w:val="00754817"/>
    <w:rsid w:val="007715B2"/>
    <w:rsid w:val="007738AB"/>
    <w:rsid w:val="00776CC8"/>
    <w:rsid w:val="00781B0F"/>
    <w:rsid w:val="007A2A2E"/>
    <w:rsid w:val="007A2B4A"/>
    <w:rsid w:val="007A3E43"/>
    <w:rsid w:val="007B0000"/>
    <w:rsid w:val="007B4F4D"/>
    <w:rsid w:val="007C1C7A"/>
    <w:rsid w:val="007C271E"/>
    <w:rsid w:val="007C3449"/>
    <w:rsid w:val="007D1607"/>
    <w:rsid w:val="007E664C"/>
    <w:rsid w:val="007F5FA5"/>
    <w:rsid w:val="007F697D"/>
    <w:rsid w:val="007F6F9B"/>
    <w:rsid w:val="00802D69"/>
    <w:rsid w:val="0082063A"/>
    <w:rsid w:val="00820E9B"/>
    <w:rsid w:val="00821BDA"/>
    <w:rsid w:val="008221C1"/>
    <w:rsid w:val="0083050A"/>
    <w:rsid w:val="008358C5"/>
    <w:rsid w:val="008772A6"/>
    <w:rsid w:val="0089322C"/>
    <w:rsid w:val="0089464C"/>
    <w:rsid w:val="008A573C"/>
    <w:rsid w:val="008C4D22"/>
    <w:rsid w:val="008E3568"/>
    <w:rsid w:val="008F47CB"/>
    <w:rsid w:val="008F5BF7"/>
    <w:rsid w:val="00906310"/>
    <w:rsid w:val="0092134F"/>
    <w:rsid w:val="00925020"/>
    <w:rsid w:val="0093234C"/>
    <w:rsid w:val="00935BD8"/>
    <w:rsid w:val="009429B6"/>
    <w:rsid w:val="00965822"/>
    <w:rsid w:val="00982C6D"/>
    <w:rsid w:val="009A17A0"/>
    <w:rsid w:val="009A1B29"/>
    <w:rsid w:val="009A6CE4"/>
    <w:rsid w:val="009B4804"/>
    <w:rsid w:val="009D3600"/>
    <w:rsid w:val="009F084B"/>
    <w:rsid w:val="009F7144"/>
    <w:rsid w:val="00A02900"/>
    <w:rsid w:val="00A1448D"/>
    <w:rsid w:val="00A21D63"/>
    <w:rsid w:val="00A26B93"/>
    <w:rsid w:val="00A35A35"/>
    <w:rsid w:val="00A42304"/>
    <w:rsid w:val="00A47AF2"/>
    <w:rsid w:val="00A643BD"/>
    <w:rsid w:val="00A92B17"/>
    <w:rsid w:val="00A92DF9"/>
    <w:rsid w:val="00A93320"/>
    <w:rsid w:val="00A93BBC"/>
    <w:rsid w:val="00A9465F"/>
    <w:rsid w:val="00AA04B2"/>
    <w:rsid w:val="00AB6275"/>
    <w:rsid w:val="00AD12C2"/>
    <w:rsid w:val="00B002DA"/>
    <w:rsid w:val="00B03737"/>
    <w:rsid w:val="00B07525"/>
    <w:rsid w:val="00B10C85"/>
    <w:rsid w:val="00B37218"/>
    <w:rsid w:val="00B424F4"/>
    <w:rsid w:val="00B4322D"/>
    <w:rsid w:val="00B43BC2"/>
    <w:rsid w:val="00B440BB"/>
    <w:rsid w:val="00B6220F"/>
    <w:rsid w:val="00B77F3E"/>
    <w:rsid w:val="00B977D6"/>
    <w:rsid w:val="00BA59A4"/>
    <w:rsid w:val="00BA7B87"/>
    <w:rsid w:val="00BC2B94"/>
    <w:rsid w:val="00BD456F"/>
    <w:rsid w:val="00BE0B50"/>
    <w:rsid w:val="00BE10B4"/>
    <w:rsid w:val="00BE2622"/>
    <w:rsid w:val="00BE328F"/>
    <w:rsid w:val="00BE54A1"/>
    <w:rsid w:val="00BF03E7"/>
    <w:rsid w:val="00C00379"/>
    <w:rsid w:val="00C00820"/>
    <w:rsid w:val="00C0501C"/>
    <w:rsid w:val="00C17700"/>
    <w:rsid w:val="00C20EFD"/>
    <w:rsid w:val="00C25E2D"/>
    <w:rsid w:val="00C277EA"/>
    <w:rsid w:val="00C36D2E"/>
    <w:rsid w:val="00C4507D"/>
    <w:rsid w:val="00C47242"/>
    <w:rsid w:val="00C47EF4"/>
    <w:rsid w:val="00C5144D"/>
    <w:rsid w:val="00C63BBC"/>
    <w:rsid w:val="00C72991"/>
    <w:rsid w:val="00C839D9"/>
    <w:rsid w:val="00C84251"/>
    <w:rsid w:val="00C945E5"/>
    <w:rsid w:val="00CA44C5"/>
    <w:rsid w:val="00CB5E94"/>
    <w:rsid w:val="00CC2F18"/>
    <w:rsid w:val="00CC609E"/>
    <w:rsid w:val="00CD5354"/>
    <w:rsid w:val="00CD5A9D"/>
    <w:rsid w:val="00CE3568"/>
    <w:rsid w:val="00CF3AAA"/>
    <w:rsid w:val="00CF7274"/>
    <w:rsid w:val="00D01A7C"/>
    <w:rsid w:val="00D06BDB"/>
    <w:rsid w:val="00D205EF"/>
    <w:rsid w:val="00D302BE"/>
    <w:rsid w:val="00D4161E"/>
    <w:rsid w:val="00D5381E"/>
    <w:rsid w:val="00D77EA9"/>
    <w:rsid w:val="00DA575D"/>
    <w:rsid w:val="00DB0F50"/>
    <w:rsid w:val="00DB2658"/>
    <w:rsid w:val="00DC17BE"/>
    <w:rsid w:val="00DC5D1F"/>
    <w:rsid w:val="00DE6BF5"/>
    <w:rsid w:val="00E073F9"/>
    <w:rsid w:val="00E42176"/>
    <w:rsid w:val="00E43B64"/>
    <w:rsid w:val="00E462F8"/>
    <w:rsid w:val="00E54AC4"/>
    <w:rsid w:val="00E55775"/>
    <w:rsid w:val="00E80E27"/>
    <w:rsid w:val="00E81353"/>
    <w:rsid w:val="00E95AB1"/>
    <w:rsid w:val="00E96E17"/>
    <w:rsid w:val="00EA2BE0"/>
    <w:rsid w:val="00EA34E4"/>
    <w:rsid w:val="00EB2631"/>
    <w:rsid w:val="00EB7B09"/>
    <w:rsid w:val="00EC165C"/>
    <w:rsid w:val="00EC1CC8"/>
    <w:rsid w:val="00EC566B"/>
    <w:rsid w:val="00EC635E"/>
    <w:rsid w:val="00ED2346"/>
    <w:rsid w:val="00EF68C0"/>
    <w:rsid w:val="00F01297"/>
    <w:rsid w:val="00F0454C"/>
    <w:rsid w:val="00F0497E"/>
    <w:rsid w:val="00F04EBC"/>
    <w:rsid w:val="00F0640D"/>
    <w:rsid w:val="00F108E5"/>
    <w:rsid w:val="00F150EC"/>
    <w:rsid w:val="00F2602E"/>
    <w:rsid w:val="00F32CE3"/>
    <w:rsid w:val="00F34DD6"/>
    <w:rsid w:val="00F44B49"/>
    <w:rsid w:val="00F4523D"/>
    <w:rsid w:val="00F61DB7"/>
    <w:rsid w:val="00F654A3"/>
    <w:rsid w:val="00F828AE"/>
    <w:rsid w:val="00F83C6C"/>
    <w:rsid w:val="00FD2D98"/>
    <w:rsid w:val="00FE0EAC"/>
    <w:rsid w:val="00FE3301"/>
    <w:rsid w:val="00FE672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43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D43"/>
    <w:pPr>
      <w:ind w:left="720"/>
      <w:contextualSpacing/>
    </w:pPr>
  </w:style>
  <w:style w:type="paragraph" w:customStyle="1" w:styleId="10">
    <w:name w:val="Без интервала1"/>
    <w:rsid w:val="00687D43"/>
    <w:rPr>
      <w:rFonts w:ascii="Calibri" w:hAnsi="Calibri"/>
      <w:sz w:val="22"/>
      <w:szCs w:val="22"/>
      <w:lang w:val="ru-RU" w:eastAsia="en-US"/>
    </w:rPr>
  </w:style>
  <w:style w:type="paragraph" w:styleId="a3">
    <w:name w:val="header"/>
    <w:basedOn w:val="a"/>
    <w:rsid w:val="003045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4538"/>
  </w:style>
  <w:style w:type="paragraph" w:styleId="a5">
    <w:name w:val="Normal (Web)"/>
    <w:basedOn w:val="a"/>
    <w:rsid w:val="00C72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DA575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25E2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2488</Words>
  <Characters>19587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DKSU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2800-LaganU</dc:creator>
  <cp:lastModifiedBy>2800-PostnykovM</cp:lastModifiedBy>
  <cp:revision>5</cp:revision>
  <cp:lastPrinted>2019-03-13T15:53:00Z</cp:lastPrinted>
  <dcterms:created xsi:type="dcterms:W3CDTF">2019-03-13T14:22:00Z</dcterms:created>
  <dcterms:modified xsi:type="dcterms:W3CDTF">2019-03-14T13:35:00Z</dcterms:modified>
</cp:coreProperties>
</file>