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CC" w:rsidRDefault="00476490" w:rsidP="00476490">
      <w:pPr>
        <w:shd w:val="clear" w:color="auto" w:fill="FFFFFF"/>
        <w:jc w:val="center"/>
        <w:rPr>
          <w:b/>
          <w:sz w:val="28"/>
          <w:szCs w:val="28"/>
          <w:u w:val="single"/>
          <w:lang w:val="uk-UA"/>
        </w:rPr>
      </w:pPr>
      <w:r w:rsidRPr="009A46A8">
        <w:rPr>
          <w:b/>
          <w:sz w:val="28"/>
          <w:szCs w:val="28"/>
          <w:u w:val="single"/>
          <w:lang w:val="uk-UA"/>
        </w:rPr>
        <w:t>Деталізований опис заходів дорожньої карти</w:t>
      </w:r>
      <w:r w:rsidR="00820CCC">
        <w:rPr>
          <w:b/>
          <w:sz w:val="28"/>
          <w:szCs w:val="28"/>
          <w:u w:val="single"/>
          <w:lang w:val="uk-UA"/>
        </w:rPr>
        <w:t xml:space="preserve"> для організації</w:t>
      </w:r>
      <w:r w:rsidRPr="009A46A8">
        <w:rPr>
          <w:b/>
          <w:sz w:val="28"/>
          <w:szCs w:val="28"/>
          <w:u w:val="single"/>
          <w:lang w:val="uk-UA"/>
        </w:rPr>
        <w:t xml:space="preserve"> підключення </w:t>
      </w:r>
    </w:p>
    <w:p w:rsidR="00476490" w:rsidRPr="009A46A8" w:rsidRDefault="00820CCC" w:rsidP="00476490">
      <w:pPr>
        <w:shd w:val="clear" w:color="auto" w:fill="FFFFFF"/>
        <w:jc w:val="center"/>
        <w:rPr>
          <w:b/>
          <w:bCs/>
          <w:color w:val="000000"/>
          <w:spacing w:val="-4"/>
          <w:sz w:val="28"/>
          <w:szCs w:val="28"/>
          <w:u w:val="single"/>
          <w:lang w:val="uk-UA"/>
        </w:rPr>
      </w:pPr>
      <w:r>
        <w:rPr>
          <w:b/>
          <w:sz w:val="28"/>
          <w:szCs w:val="28"/>
          <w:u w:val="single"/>
          <w:lang w:val="uk-UA"/>
        </w:rPr>
        <w:t>д</w:t>
      </w:r>
      <w:r w:rsidR="00476490" w:rsidRPr="009A46A8">
        <w:rPr>
          <w:b/>
          <w:sz w:val="28"/>
          <w:szCs w:val="28"/>
          <w:u w:val="single"/>
          <w:lang w:val="uk-UA"/>
        </w:rPr>
        <w:t>о</w:t>
      </w:r>
      <w:r>
        <w:rPr>
          <w:b/>
          <w:sz w:val="28"/>
          <w:szCs w:val="28"/>
          <w:u w:val="single"/>
          <w:lang w:val="uk-UA"/>
        </w:rPr>
        <w:t xml:space="preserve"> </w:t>
      </w:r>
      <w:r w:rsidR="00476490" w:rsidRPr="009A46A8">
        <w:rPr>
          <w:b/>
          <w:sz w:val="28"/>
          <w:szCs w:val="28"/>
          <w:u w:val="single"/>
          <w:lang w:val="uk-UA"/>
        </w:rPr>
        <w:t xml:space="preserve">системи </w:t>
      </w:r>
      <w:r w:rsidR="00476490" w:rsidRPr="009A46A8">
        <w:rPr>
          <w:b/>
          <w:bCs/>
          <w:color w:val="000000"/>
          <w:spacing w:val="-4"/>
          <w:sz w:val="28"/>
          <w:szCs w:val="28"/>
          <w:u w:val="single"/>
          <w:lang w:val="uk-UA"/>
        </w:rPr>
        <w:t xml:space="preserve">дистанційного обслуговування </w:t>
      </w:r>
    </w:p>
    <w:p w:rsidR="00476490" w:rsidRPr="009A46A8" w:rsidRDefault="00476490" w:rsidP="00476490">
      <w:pPr>
        <w:shd w:val="clear" w:color="auto" w:fill="FFFFFF"/>
        <w:jc w:val="center"/>
        <w:rPr>
          <w:b/>
          <w:color w:val="000000"/>
          <w:sz w:val="28"/>
          <w:szCs w:val="28"/>
          <w:u w:val="single"/>
          <w:lang w:val="uk-UA"/>
        </w:rPr>
      </w:pPr>
      <w:r w:rsidRPr="009A46A8">
        <w:rPr>
          <w:b/>
          <w:bCs/>
          <w:color w:val="000000"/>
          <w:spacing w:val="-4"/>
          <w:sz w:val="28"/>
          <w:szCs w:val="28"/>
          <w:u w:val="single"/>
          <w:lang w:val="uk-UA"/>
        </w:rPr>
        <w:t xml:space="preserve">з використанням </w:t>
      </w:r>
      <w:r w:rsidRPr="009A46A8">
        <w:rPr>
          <w:b/>
          <w:bCs/>
          <w:color w:val="000000"/>
          <w:spacing w:val="-5"/>
          <w:sz w:val="28"/>
          <w:szCs w:val="28"/>
          <w:u w:val="single"/>
          <w:lang w:val="uk-UA"/>
        </w:rPr>
        <w:t>програмно-технічного комплексу</w:t>
      </w:r>
      <w:r w:rsidRPr="009A46A8">
        <w:rPr>
          <w:b/>
          <w:color w:val="000000"/>
          <w:sz w:val="28"/>
          <w:szCs w:val="28"/>
          <w:u w:val="single"/>
          <w:lang w:val="uk-UA"/>
        </w:rPr>
        <w:t xml:space="preserve"> </w:t>
      </w:r>
    </w:p>
    <w:p w:rsidR="00476490" w:rsidRPr="009A46A8" w:rsidRDefault="00476490" w:rsidP="00476490">
      <w:pPr>
        <w:shd w:val="clear" w:color="auto" w:fill="FFFFFF"/>
        <w:jc w:val="center"/>
        <w:rPr>
          <w:b/>
          <w:color w:val="000000"/>
          <w:sz w:val="28"/>
          <w:szCs w:val="28"/>
          <w:u w:val="single"/>
          <w:lang w:val="uk-UA"/>
        </w:rPr>
      </w:pPr>
      <w:r w:rsidRPr="009A46A8">
        <w:rPr>
          <w:b/>
          <w:color w:val="000000"/>
          <w:sz w:val="28"/>
          <w:szCs w:val="28"/>
          <w:u w:val="single"/>
          <w:lang w:val="uk-UA"/>
        </w:rPr>
        <w:t>«Клієнт казначейства – Казначейство» (далі - СДО)</w:t>
      </w:r>
    </w:p>
    <w:p w:rsidR="00476490" w:rsidRPr="009A46A8" w:rsidRDefault="00476490" w:rsidP="00476490">
      <w:pPr>
        <w:rPr>
          <w:sz w:val="28"/>
          <w:szCs w:val="28"/>
          <w:lang w:val="uk-UA"/>
        </w:rPr>
      </w:pPr>
      <w:r w:rsidRPr="009A46A8">
        <w:rPr>
          <w:sz w:val="28"/>
          <w:szCs w:val="28"/>
          <w:lang w:val="uk-UA"/>
        </w:rPr>
        <w:t xml:space="preserve"> </w:t>
      </w:r>
    </w:p>
    <w:p w:rsidR="00476490" w:rsidRDefault="00476490" w:rsidP="00200D10">
      <w:pPr>
        <w:shd w:val="clear" w:color="auto" w:fill="FFFFFF"/>
        <w:jc w:val="center"/>
        <w:rPr>
          <w:b/>
          <w:bCs/>
          <w:color w:val="000000"/>
          <w:spacing w:val="-4"/>
          <w:sz w:val="28"/>
          <w:szCs w:val="28"/>
          <w:lang w:val="uk-UA"/>
        </w:rPr>
      </w:pPr>
      <w:r w:rsidRPr="009A46A8">
        <w:rPr>
          <w:b/>
          <w:bCs/>
          <w:color w:val="000000"/>
          <w:spacing w:val="-4"/>
          <w:sz w:val="28"/>
          <w:szCs w:val="28"/>
          <w:lang w:val="uk-UA"/>
        </w:rPr>
        <w:t>1. Укладання Договору на дистанційне обслуговування</w:t>
      </w:r>
    </w:p>
    <w:p w:rsidR="00AC5A44" w:rsidRDefault="00AC5A44" w:rsidP="00200D10">
      <w:pPr>
        <w:shd w:val="clear" w:color="auto" w:fill="FFFFFF"/>
        <w:jc w:val="both"/>
        <w:rPr>
          <w:b/>
          <w:bCs/>
          <w:color w:val="000000"/>
          <w:spacing w:val="-4"/>
          <w:sz w:val="28"/>
          <w:szCs w:val="28"/>
          <w:lang w:val="uk-UA"/>
        </w:rPr>
      </w:pPr>
    </w:p>
    <w:p w:rsidR="00476490" w:rsidRPr="009A46A8" w:rsidRDefault="00260F4B" w:rsidP="00200D10">
      <w:pPr>
        <w:jc w:val="center"/>
        <w:rPr>
          <w:b/>
          <w:color w:val="00B050"/>
          <w:sz w:val="32"/>
          <w:szCs w:val="32"/>
          <w:lang w:val="uk-UA"/>
        </w:rPr>
      </w:pPr>
      <w:r w:rsidRPr="009A46A8">
        <w:rPr>
          <w:lang w:val="uk-UA"/>
        </w:rPr>
        <w:object w:dxaOrig="2190"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86.25pt" o:ole="">
            <v:imagedata r:id="rId5" o:title=""/>
          </v:shape>
          <o:OLEObject Type="Embed" ProgID="PBrush" ShapeID="_x0000_i1025" DrawAspect="Content" ObjectID="_1711369090" r:id="rId6"/>
        </w:object>
      </w:r>
    </w:p>
    <w:p w:rsidR="00476490" w:rsidRDefault="00476490" w:rsidP="00260F4B">
      <w:pPr>
        <w:pStyle w:val="3"/>
        <w:tabs>
          <w:tab w:val="right" w:pos="9639"/>
        </w:tabs>
        <w:spacing w:after="120"/>
        <w:ind w:firstLine="709"/>
        <w:jc w:val="both"/>
        <w:rPr>
          <w:bCs/>
          <w:i/>
          <w:szCs w:val="28"/>
        </w:rPr>
      </w:pPr>
      <w:r w:rsidRPr="009A46A8">
        <w:rPr>
          <w:szCs w:val="28"/>
        </w:rPr>
        <w:t xml:space="preserve"> </w:t>
      </w:r>
    </w:p>
    <w:p w:rsidR="003C3C0D" w:rsidRDefault="005E0C21" w:rsidP="005E0C21">
      <w:pPr>
        <w:pStyle w:val="3"/>
        <w:tabs>
          <w:tab w:val="right" w:pos="9639"/>
        </w:tabs>
        <w:spacing w:after="120"/>
        <w:ind w:firstLine="709"/>
        <w:jc w:val="both"/>
        <w:rPr>
          <w:szCs w:val="28"/>
        </w:rPr>
      </w:pPr>
      <w:r w:rsidRPr="009A46A8">
        <w:rPr>
          <w:szCs w:val="28"/>
        </w:rPr>
        <w:t xml:space="preserve">Для підключення до СДО необхідно </w:t>
      </w:r>
      <w:r>
        <w:rPr>
          <w:szCs w:val="28"/>
        </w:rPr>
        <w:t xml:space="preserve">звернутись до </w:t>
      </w:r>
      <w:r w:rsidRPr="006B3000">
        <w:rPr>
          <w:b/>
          <w:szCs w:val="28"/>
        </w:rPr>
        <w:t>орган</w:t>
      </w:r>
      <w:r>
        <w:rPr>
          <w:b/>
          <w:szCs w:val="28"/>
        </w:rPr>
        <w:t>у</w:t>
      </w:r>
      <w:r w:rsidRPr="006B3000">
        <w:rPr>
          <w:b/>
          <w:szCs w:val="28"/>
        </w:rPr>
        <w:t xml:space="preserve"> Казначейства</w:t>
      </w:r>
      <w:r>
        <w:rPr>
          <w:b/>
          <w:szCs w:val="28"/>
        </w:rPr>
        <w:t xml:space="preserve"> за місцем обслуговування </w:t>
      </w:r>
      <w:r w:rsidRPr="005E0C21">
        <w:rPr>
          <w:szCs w:val="28"/>
        </w:rPr>
        <w:t>для укладання</w:t>
      </w:r>
      <w:r>
        <w:rPr>
          <w:b/>
          <w:szCs w:val="28"/>
        </w:rPr>
        <w:t xml:space="preserve"> </w:t>
      </w:r>
      <w:r>
        <w:rPr>
          <w:szCs w:val="28"/>
        </w:rPr>
        <w:t>Догово</w:t>
      </w:r>
      <w:r w:rsidRPr="009A46A8">
        <w:rPr>
          <w:szCs w:val="28"/>
        </w:rPr>
        <w:t>р</w:t>
      </w:r>
      <w:r>
        <w:rPr>
          <w:szCs w:val="28"/>
        </w:rPr>
        <w:t>у</w:t>
      </w:r>
      <w:r w:rsidRPr="009A46A8">
        <w:rPr>
          <w:szCs w:val="28"/>
        </w:rPr>
        <w:t xml:space="preserve"> про дистанційне розрахункове обслуговування з використанням програмно-технічного комплексу «Клієнт казначейства – Казначейство»</w:t>
      </w:r>
      <w:r>
        <w:rPr>
          <w:szCs w:val="28"/>
        </w:rPr>
        <w:t xml:space="preserve"> (далі –</w:t>
      </w:r>
      <w:r w:rsidR="003C3C0D">
        <w:rPr>
          <w:szCs w:val="28"/>
        </w:rPr>
        <w:t xml:space="preserve"> Договір СДО)</w:t>
      </w:r>
      <w:r>
        <w:rPr>
          <w:szCs w:val="28"/>
        </w:rPr>
        <w:t xml:space="preserve">. </w:t>
      </w:r>
    </w:p>
    <w:p w:rsidR="005E0C21" w:rsidRDefault="005E0C21" w:rsidP="005E0C21">
      <w:pPr>
        <w:pStyle w:val="3"/>
        <w:tabs>
          <w:tab w:val="right" w:pos="9639"/>
        </w:tabs>
        <w:spacing w:after="120"/>
        <w:ind w:firstLine="709"/>
        <w:jc w:val="both"/>
        <w:rPr>
          <w:bCs/>
          <w:i/>
          <w:szCs w:val="28"/>
        </w:rPr>
      </w:pPr>
      <w:r>
        <w:rPr>
          <w:szCs w:val="28"/>
        </w:rPr>
        <w:t xml:space="preserve">Зразок типового </w:t>
      </w:r>
      <w:r w:rsidR="003C3C0D">
        <w:rPr>
          <w:szCs w:val="28"/>
        </w:rPr>
        <w:t xml:space="preserve">Договору </w:t>
      </w:r>
      <w:r w:rsidR="003C3C0D" w:rsidRPr="00347FDE">
        <w:rPr>
          <w:szCs w:val="28"/>
        </w:rPr>
        <w:t xml:space="preserve">СДО розміщено </w:t>
      </w:r>
      <w:r w:rsidR="00D918D8" w:rsidRPr="00347FDE">
        <w:rPr>
          <w:szCs w:val="28"/>
        </w:rPr>
        <w:t>на</w:t>
      </w:r>
      <w:r w:rsidR="003C3C0D" w:rsidRPr="00347FDE">
        <w:rPr>
          <w:szCs w:val="28"/>
        </w:rPr>
        <w:t xml:space="preserve"> </w:t>
      </w:r>
      <w:proofErr w:type="spellStart"/>
      <w:r w:rsidR="00C629BE" w:rsidRPr="00347FDE">
        <w:rPr>
          <w:szCs w:val="28"/>
        </w:rPr>
        <w:t>вебпорталі</w:t>
      </w:r>
      <w:proofErr w:type="spellEnd"/>
      <w:r w:rsidR="00C629BE" w:rsidRPr="00347FDE">
        <w:rPr>
          <w:szCs w:val="28"/>
        </w:rPr>
        <w:t xml:space="preserve"> </w:t>
      </w:r>
      <w:r w:rsidR="00580FA7" w:rsidRPr="002A3789">
        <w:rPr>
          <w:szCs w:val="28"/>
        </w:rPr>
        <w:t>Казначейства</w:t>
      </w:r>
      <w:r w:rsidR="00580FA7">
        <w:rPr>
          <w:szCs w:val="28"/>
        </w:rPr>
        <w:t xml:space="preserve"> </w:t>
      </w:r>
      <w:r w:rsidR="006B1146">
        <w:rPr>
          <w:szCs w:val="28"/>
        </w:rPr>
        <w:t>(</w:t>
      </w:r>
      <w:r w:rsidR="00423483" w:rsidRPr="00347FDE">
        <w:rPr>
          <w:szCs w:val="28"/>
        </w:rPr>
        <w:t>https://</w:t>
      </w:r>
      <w:r w:rsidR="00423483" w:rsidRPr="00347FDE">
        <w:rPr>
          <w:szCs w:val="28"/>
          <w:lang w:val="en-US"/>
        </w:rPr>
        <w:t>treasury</w:t>
      </w:r>
      <w:r w:rsidR="00423483" w:rsidRPr="00347FDE">
        <w:rPr>
          <w:szCs w:val="28"/>
        </w:rPr>
        <w:t>.</w:t>
      </w:r>
      <w:proofErr w:type="spellStart"/>
      <w:r w:rsidR="00423483" w:rsidRPr="00347FDE">
        <w:rPr>
          <w:szCs w:val="28"/>
          <w:lang w:val="en-US"/>
        </w:rPr>
        <w:t>gov</w:t>
      </w:r>
      <w:proofErr w:type="spellEnd"/>
      <w:r w:rsidR="00423483" w:rsidRPr="00347FDE">
        <w:rPr>
          <w:szCs w:val="28"/>
        </w:rPr>
        <w:t>.</w:t>
      </w:r>
      <w:proofErr w:type="spellStart"/>
      <w:r w:rsidR="00423483" w:rsidRPr="00347FDE">
        <w:rPr>
          <w:szCs w:val="28"/>
          <w:lang w:val="en-US"/>
        </w:rPr>
        <w:t>ua</w:t>
      </w:r>
      <w:proofErr w:type="spellEnd"/>
      <w:r w:rsidR="006B1146">
        <w:rPr>
          <w:szCs w:val="28"/>
        </w:rPr>
        <w:t>)</w:t>
      </w:r>
      <w:r w:rsidR="003C3C0D" w:rsidRPr="009A46A8">
        <w:rPr>
          <w:szCs w:val="28"/>
        </w:rPr>
        <w:t xml:space="preserve"> в розділі </w:t>
      </w:r>
      <w:r w:rsidR="003C3C0D" w:rsidRPr="009A46A8">
        <w:rPr>
          <w:bCs/>
          <w:i/>
          <w:szCs w:val="28"/>
        </w:rPr>
        <w:t>Електронні сервіси &gt; Система дистанційного обслуговування «Клієнт казначейства – Казначейство» &gt; Зразки документів.</w:t>
      </w:r>
    </w:p>
    <w:p w:rsidR="003C3C0D" w:rsidRPr="003C3C0D" w:rsidRDefault="003C3C0D" w:rsidP="003C3C0D">
      <w:pPr>
        <w:pStyle w:val="3"/>
        <w:tabs>
          <w:tab w:val="right" w:pos="9639"/>
        </w:tabs>
        <w:spacing w:after="120"/>
        <w:ind w:firstLine="709"/>
        <w:jc w:val="both"/>
        <w:rPr>
          <w:szCs w:val="28"/>
        </w:rPr>
      </w:pPr>
      <w:r w:rsidRPr="003C3C0D">
        <w:rPr>
          <w:szCs w:val="28"/>
        </w:rPr>
        <w:t xml:space="preserve">Умовою  </w:t>
      </w:r>
      <w:r w:rsidRPr="006B1146">
        <w:rPr>
          <w:szCs w:val="28"/>
        </w:rPr>
        <w:t>для укладання Договору СДО є наявність діючого договору про здійснення розрахунк</w:t>
      </w:r>
      <w:r w:rsidR="002C12B4" w:rsidRPr="006B1146">
        <w:rPr>
          <w:szCs w:val="28"/>
        </w:rPr>
        <w:t>о</w:t>
      </w:r>
      <w:r w:rsidRPr="006B1146">
        <w:rPr>
          <w:szCs w:val="28"/>
        </w:rPr>
        <w:t>во-касового обслуговування (відповідно до вимог Порядку відкриття та закриття рахунків</w:t>
      </w:r>
      <w:r w:rsidRPr="003C3C0D">
        <w:rPr>
          <w:szCs w:val="28"/>
        </w:rPr>
        <w:t xml:space="preserve"> у національній валюті в органах Державної казначейської служби України, затвердженого наказом Міністерства фінансів України від 22.06.2012 №758)</w:t>
      </w:r>
    </w:p>
    <w:p w:rsidR="00260F4B" w:rsidRPr="009A46A8" w:rsidRDefault="00260F4B" w:rsidP="00260F4B">
      <w:pPr>
        <w:ind w:firstLine="709"/>
        <w:rPr>
          <w:lang w:val="uk-UA"/>
        </w:rPr>
      </w:pPr>
    </w:p>
    <w:p w:rsidR="00260F4B" w:rsidRDefault="00260F4B" w:rsidP="00200D10">
      <w:pPr>
        <w:shd w:val="clear" w:color="auto" w:fill="FFFFFF"/>
        <w:jc w:val="center"/>
        <w:rPr>
          <w:b/>
          <w:bCs/>
          <w:color w:val="000000"/>
          <w:spacing w:val="-4"/>
          <w:sz w:val="28"/>
          <w:szCs w:val="28"/>
          <w:lang w:val="uk-UA"/>
        </w:rPr>
      </w:pPr>
      <w:r w:rsidRPr="009A46A8">
        <w:rPr>
          <w:b/>
          <w:bCs/>
          <w:color w:val="000000"/>
          <w:spacing w:val="-4"/>
          <w:sz w:val="28"/>
          <w:szCs w:val="28"/>
          <w:lang w:val="uk-UA"/>
        </w:rPr>
        <w:t>2. Заповнення та передача Заяви про підключення клієнта органу ДКСУ</w:t>
      </w:r>
    </w:p>
    <w:p w:rsidR="00AC5A44" w:rsidRPr="00154682" w:rsidRDefault="00AC5A44" w:rsidP="00260F4B">
      <w:pPr>
        <w:shd w:val="clear" w:color="auto" w:fill="FFFFFF"/>
        <w:ind w:firstLine="709"/>
        <w:jc w:val="both"/>
        <w:rPr>
          <w:b/>
          <w:bCs/>
          <w:color w:val="000000"/>
          <w:spacing w:val="-4"/>
          <w:sz w:val="16"/>
          <w:szCs w:val="16"/>
          <w:lang w:val="uk-UA"/>
        </w:rPr>
      </w:pPr>
    </w:p>
    <w:p w:rsidR="00260F4B" w:rsidRDefault="00F0367C" w:rsidP="00260F4B">
      <w:pPr>
        <w:shd w:val="clear" w:color="auto" w:fill="FFFFFF"/>
        <w:ind w:firstLine="709"/>
        <w:jc w:val="center"/>
        <w:rPr>
          <w:lang w:val="uk-UA"/>
        </w:rPr>
      </w:pPr>
      <w:r>
        <w:rPr>
          <w:noProof/>
          <w:lang w:val="uk-UA" w:eastAsia="uk-UA"/>
        </w:rPr>
        <w:drawing>
          <wp:inline distT="0" distB="0" distL="0" distR="0">
            <wp:extent cx="1100412" cy="1080000"/>
            <wp:effectExtent l="19050" t="0" r="4488"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00412" cy="1080000"/>
                    </a:xfrm>
                    <a:prstGeom prst="rect">
                      <a:avLst/>
                    </a:prstGeom>
                    <a:noFill/>
                    <a:ln w="9525">
                      <a:noFill/>
                      <a:miter lim="800000"/>
                      <a:headEnd/>
                      <a:tailEnd/>
                    </a:ln>
                  </pic:spPr>
                </pic:pic>
              </a:graphicData>
            </a:graphic>
          </wp:inline>
        </w:drawing>
      </w:r>
    </w:p>
    <w:p w:rsidR="00F0367C" w:rsidRPr="00154682" w:rsidRDefault="00F0367C" w:rsidP="00260F4B">
      <w:pPr>
        <w:shd w:val="clear" w:color="auto" w:fill="FFFFFF"/>
        <w:ind w:firstLine="709"/>
        <w:jc w:val="center"/>
        <w:rPr>
          <w:sz w:val="16"/>
          <w:szCs w:val="16"/>
          <w:lang w:val="uk-UA"/>
        </w:rPr>
      </w:pPr>
    </w:p>
    <w:p w:rsidR="002E0E31" w:rsidRDefault="009A46A8" w:rsidP="009A46A8">
      <w:pPr>
        <w:pStyle w:val="3"/>
        <w:tabs>
          <w:tab w:val="right" w:pos="9639"/>
        </w:tabs>
        <w:spacing w:after="120"/>
        <w:ind w:firstLine="709"/>
        <w:jc w:val="both"/>
        <w:rPr>
          <w:bCs/>
          <w:i/>
          <w:szCs w:val="28"/>
        </w:rPr>
      </w:pPr>
      <w:r w:rsidRPr="009A46A8">
        <w:rPr>
          <w:szCs w:val="28"/>
        </w:rPr>
        <w:t xml:space="preserve">Заява про підключення клієнта до СДО (далі – Заява про підключення). Подається </w:t>
      </w:r>
      <w:r w:rsidR="00A573D4">
        <w:rPr>
          <w:szCs w:val="28"/>
        </w:rPr>
        <w:t xml:space="preserve">одноразово </w:t>
      </w:r>
      <w:r w:rsidRPr="009A46A8">
        <w:rPr>
          <w:szCs w:val="28"/>
        </w:rPr>
        <w:t>при початковому підключенні установи клієнта до СДО, оновлюється у випадку зміни даних</w:t>
      </w:r>
      <w:r w:rsidR="002E0E31">
        <w:rPr>
          <w:szCs w:val="28"/>
        </w:rPr>
        <w:t>, наведених у Заяві про підключення.</w:t>
      </w:r>
      <w:r w:rsidR="00D955B7">
        <w:rPr>
          <w:szCs w:val="28"/>
        </w:rPr>
        <w:t xml:space="preserve"> </w:t>
      </w:r>
      <w:r w:rsidR="002E0E31">
        <w:rPr>
          <w:szCs w:val="28"/>
        </w:rPr>
        <w:t xml:space="preserve">Форма </w:t>
      </w:r>
      <w:r w:rsidRPr="009A46A8">
        <w:rPr>
          <w:szCs w:val="28"/>
        </w:rPr>
        <w:t>Заяв</w:t>
      </w:r>
      <w:r w:rsidR="002E0E31">
        <w:rPr>
          <w:szCs w:val="28"/>
        </w:rPr>
        <w:t>и</w:t>
      </w:r>
      <w:r w:rsidRPr="009A46A8">
        <w:rPr>
          <w:szCs w:val="28"/>
        </w:rPr>
        <w:t xml:space="preserve"> про </w:t>
      </w:r>
      <w:r w:rsidRPr="006B1146">
        <w:rPr>
          <w:szCs w:val="28"/>
        </w:rPr>
        <w:t xml:space="preserve">підключення </w:t>
      </w:r>
      <w:r w:rsidR="00AB2A2D" w:rsidRPr="006B1146">
        <w:rPr>
          <w:szCs w:val="28"/>
        </w:rPr>
        <w:t>розміщена</w:t>
      </w:r>
      <w:r w:rsidRPr="006B1146">
        <w:rPr>
          <w:szCs w:val="28"/>
        </w:rPr>
        <w:t xml:space="preserve"> </w:t>
      </w:r>
      <w:r w:rsidR="00AB2A2D" w:rsidRPr="006B1146">
        <w:rPr>
          <w:szCs w:val="28"/>
        </w:rPr>
        <w:t>на</w:t>
      </w:r>
      <w:r w:rsidRPr="006B1146">
        <w:rPr>
          <w:szCs w:val="28"/>
        </w:rPr>
        <w:t xml:space="preserve"> </w:t>
      </w:r>
      <w:proofErr w:type="spellStart"/>
      <w:r w:rsidR="00C629BE" w:rsidRPr="006B1146">
        <w:rPr>
          <w:szCs w:val="28"/>
        </w:rPr>
        <w:t>вебпорталі</w:t>
      </w:r>
      <w:proofErr w:type="spellEnd"/>
      <w:r w:rsidR="00C629BE" w:rsidRPr="006B1146">
        <w:rPr>
          <w:szCs w:val="28"/>
        </w:rPr>
        <w:t xml:space="preserve"> </w:t>
      </w:r>
      <w:r w:rsidR="00580FA7" w:rsidRPr="002A3789">
        <w:rPr>
          <w:szCs w:val="28"/>
        </w:rPr>
        <w:t>Казначейства</w:t>
      </w:r>
      <w:r w:rsidR="007A42D9" w:rsidRPr="007A42D9">
        <w:rPr>
          <w:szCs w:val="28"/>
        </w:rPr>
        <w:t xml:space="preserve"> </w:t>
      </w:r>
      <w:r w:rsidRPr="009A46A8">
        <w:rPr>
          <w:szCs w:val="28"/>
        </w:rPr>
        <w:t xml:space="preserve">в розділі </w:t>
      </w:r>
      <w:r w:rsidRPr="009A46A8">
        <w:rPr>
          <w:bCs/>
          <w:i/>
          <w:szCs w:val="28"/>
        </w:rPr>
        <w:t xml:space="preserve">Електронні сервіси &gt; Система дистанційного обслуговування «Клієнт казначейства – Казначейство» &gt; Зразки документів. </w:t>
      </w:r>
    </w:p>
    <w:p w:rsidR="00A573D4" w:rsidRDefault="00A573D4" w:rsidP="00A573D4">
      <w:pPr>
        <w:pStyle w:val="3"/>
        <w:tabs>
          <w:tab w:val="right" w:pos="9639"/>
        </w:tabs>
        <w:spacing w:after="120"/>
        <w:ind w:firstLine="709"/>
        <w:jc w:val="both"/>
        <w:rPr>
          <w:szCs w:val="28"/>
        </w:rPr>
      </w:pPr>
      <w:r w:rsidRPr="00A573D4">
        <w:rPr>
          <w:szCs w:val="28"/>
        </w:rPr>
        <w:t>В Заяві про підключення зазначаються ідентифікаційні дані клієнта (юридичної особи) та дані, необхідні для здійснення налаштувань параметрів клієнта в СДО.</w:t>
      </w:r>
      <w:r w:rsidR="001603A9">
        <w:rPr>
          <w:szCs w:val="28"/>
        </w:rPr>
        <w:t xml:space="preserve"> </w:t>
      </w:r>
    </w:p>
    <w:p w:rsidR="00A573D4" w:rsidRDefault="007B5DC4" w:rsidP="007B5DC4">
      <w:pPr>
        <w:pStyle w:val="3"/>
        <w:tabs>
          <w:tab w:val="right" w:pos="9639"/>
        </w:tabs>
        <w:spacing w:after="120"/>
        <w:ind w:firstLine="709"/>
        <w:jc w:val="both"/>
        <w:rPr>
          <w:i/>
          <w:szCs w:val="28"/>
        </w:rPr>
      </w:pPr>
      <w:r w:rsidRPr="006B1146">
        <w:rPr>
          <w:szCs w:val="28"/>
        </w:rPr>
        <w:t xml:space="preserve">В </w:t>
      </w:r>
      <w:r w:rsidR="007A5A9A" w:rsidRPr="006B1146">
        <w:rPr>
          <w:szCs w:val="28"/>
        </w:rPr>
        <w:t>пункті</w:t>
      </w:r>
      <w:r w:rsidRPr="006B1146">
        <w:rPr>
          <w:szCs w:val="28"/>
        </w:rPr>
        <w:t xml:space="preserve"> 4</w:t>
      </w:r>
      <w:r w:rsidRPr="007B5DC4">
        <w:rPr>
          <w:szCs w:val="28"/>
        </w:rPr>
        <w:t xml:space="preserve"> необхідно вказати код та найменування територіального підрозділу </w:t>
      </w:r>
      <w:r w:rsidR="00D01B40">
        <w:rPr>
          <w:szCs w:val="28"/>
        </w:rPr>
        <w:t xml:space="preserve">органу Казначейства, де розташований відокремлений пункт реєстрації </w:t>
      </w:r>
      <w:r w:rsidRPr="007B5DC4">
        <w:rPr>
          <w:szCs w:val="28"/>
        </w:rPr>
        <w:t xml:space="preserve">кваліфікованого надавача електронних довірчих послуг Казначейства (далі - </w:t>
      </w:r>
      <w:r w:rsidRPr="007B5DC4">
        <w:rPr>
          <w:szCs w:val="28"/>
        </w:rPr>
        <w:lastRenderedPageBreak/>
        <w:t xml:space="preserve">ВПР), </w:t>
      </w:r>
      <w:r w:rsidR="00D01B40">
        <w:rPr>
          <w:szCs w:val="28"/>
        </w:rPr>
        <w:t>у</w:t>
      </w:r>
      <w:r w:rsidRPr="007B5DC4">
        <w:rPr>
          <w:szCs w:val="28"/>
        </w:rPr>
        <w:t xml:space="preserve"> якому клієнт отримує кваліфіковані довірчі послуги. Перелік ВПР за територіями </w:t>
      </w:r>
      <w:r w:rsidRPr="00347FDE">
        <w:rPr>
          <w:szCs w:val="28"/>
        </w:rPr>
        <w:t xml:space="preserve">розміщено </w:t>
      </w:r>
      <w:r w:rsidR="00A03739" w:rsidRPr="00347FDE">
        <w:rPr>
          <w:szCs w:val="28"/>
        </w:rPr>
        <w:t>на</w:t>
      </w:r>
      <w:r w:rsidRPr="00347FDE">
        <w:rPr>
          <w:szCs w:val="28"/>
        </w:rPr>
        <w:t xml:space="preserve"> </w:t>
      </w:r>
      <w:proofErr w:type="spellStart"/>
      <w:r w:rsidR="00C629BE" w:rsidRPr="00347FDE">
        <w:rPr>
          <w:szCs w:val="28"/>
        </w:rPr>
        <w:t>вебпорталі</w:t>
      </w:r>
      <w:proofErr w:type="spellEnd"/>
      <w:r w:rsidR="00C629BE">
        <w:rPr>
          <w:szCs w:val="28"/>
        </w:rPr>
        <w:t xml:space="preserve"> </w:t>
      </w:r>
      <w:r w:rsidR="00580FA7" w:rsidRPr="002A3789">
        <w:rPr>
          <w:szCs w:val="28"/>
        </w:rPr>
        <w:t>Казначейства</w:t>
      </w:r>
      <w:r w:rsidRPr="007B5DC4">
        <w:rPr>
          <w:szCs w:val="28"/>
        </w:rPr>
        <w:t xml:space="preserve"> в розділі </w:t>
      </w:r>
      <w:r w:rsidRPr="00D955B7">
        <w:rPr>
          <w:i/>
          <w:szCs w:val="28"/>
        </w:rPr>
        <w:t>Електронні сервіси &gt;Кваліфіковані електронні довірчі послуги &gt; Контакти</w:t>
      </w:r>
    </w:p>
    <w:p w:rsidR="00D955B7" w:rsidRPr="001603A9" w:rsidRDefault="00A91E66" w:rsidP="001603A9">
      <w:pPr>
        <w:pStyle w:val="3"/>
        <w:tabs>
          <w:tab w:val="right" w:pos="9639"/>
        </w:tabs>
        <w:spacing w:after="120"/>
        <w:ind w:firstLine="709"/>
        <w:jc w:val="both"/>
        <w:rPr>
          <w:szCs w:val="28"/>
        </w:rPr>
      </w:pPr>
      <w:r>
        <w:rPr>
          <w:szCs w:val="28"/>
        </w:rPr>
        <w:t>Для заповнення пункту 6</w:t>
      </w:r>
      <w:r w:rsidR="001603A9" w:rsidRPr="001603A9">
        <w:rPr>
          <w:szCs w:val="28"/>
        </w:rPr>
        <w:t>, к</w:t>
      </w:r>
      <w:r w:rsidR="00D955B7" w:rsidRPr="001603A9">
        <w:rPr>
          <w:szCs w:val="28"/>
        </w:rPr>
        <w:t>лієнт</w:t>
      </w:r>
      <w:r w:rsidR="001603A9" w:rsidRPr="001603A9">
        <w:rPr>
          <w:szCs w:val="28"/>
        </w:rPr>
        <w:t>у</w:t>
      </w:r>
      <w:r w:rsidR="00D955B7" w:rsidRPr="001603A9">
        <w:rPr>
          <w:szCs w:val="28"/>
        </w:rPr>
        <w:t xml:space="preserve"> необхідно визначитись щодо порядку підписання документів в СДО. </w:t>
      </w:r>
    </w:p>
    <w:p w:rsidR="00D955B7" w:rsidRDefault="00A03739" w:rsidP="001603A9">
      <w:pPr>
        <w:pStyle w:val="3"/>
        <w:tabs>
          <w:tab w:val="right" w:pos="9639"/>
        </w:tabs>
        <w:spacing w:after="120"/>
        <w:ind w:firstLine="709"/>
        <w:jc w:val="both"/>
        <w:rPr>
          <w:szCs w:val="28"/>
        </w:rPr>
      </w:pPr>
      <w:r w:rsidRPr="001603A9">
        <w:rPr>
          <w:szCs w:val="28"/>
        </w:rPr>
        <w:t>В СДО для кожного виду е</w:t>
      </w:r>
      <w:r w:rsidR="00D955B7" w:rsidRPr="001603A9">
        <w:rPr>
          <w:szCs w:val="28"/>
        </w:rPr>
        <w:t xml:space="preserve">лектронного документа </w:t>
      </w:r>
      <w:r w:rsidR="001603A9">
        <w:rPr>
          <w:szCs w:val="28"/>
        </w:rPr>
        <w:t xml:space="preserve">передбачений </w:t>
      </w:r>
      <w:r w:rsidR="00D955B7" w:rsidRPr="001603A9">
        <w:rPr>
          <w:szCs w:val="28"/>
        </w:rPr>
        <w:t xml:space="preserve">типовий порядок накладання підписів (типова схема візування), </w:t>
      </w:r>
      <w:r w:rsidR="00A91E66">
        <w:rPr>
          <w:szCs w:val="28"/>
        </w:rPr>
        <w:t>який</w:t>
      </w:r>
      <w:r w:rsidR="001603A9">
        <w:rPr>
          <w:szCs w:val="28"/>
        </w:rPr>
        <w:t xml:space="preserve"> базується </w:t>
      </w:r>
      <w:r w:rsidR="001603A9" w:rsidRPr="00B15856">
        <w:rPr>
          <w:szCs w:val="28"/>
        </w:rPr>
        <w:t>на вимогах</w:t>
      </w:r>
      <w:r w:rsidR="001603A9">
        <w:rPr>
          <w:szCs w:val="28"/>
        </w:rPr>
        <w:t xml:space="preserve"> нормативних документів та </w:t>
      </w:r>
      <w:r w:rsidR="001603A9" w:rsidRPr="001603A9">
        <w:rPr>
          <w:szCs w:val="28"/>
        </w:rPr>
        <w:t xml:space="preserve">складений з урахуванням </w:t>
      </w:r>
      <w:r w:rsidR="001603A9">
        <w:rPr>
          <w:szCs w:val="28"/>
        </w:rPr>
        <w:t>наявних груп користувачів в СДО</w:t>
      </w:r>
      <w:r w:rsidR="00D955B7" w:rsidRPr="001603A9">
        <w:rPr>
          <w:szCs w:val="28"/>
        </w:rPr>
        <w:t xml:space="preserve">. </w:t>
      </w:r>
    </w:p>
    <w:p w:rsidR="00820CCC" w:rsidRDefault="00B15856" w:rsidP="0077684F">
      <w:pPr>
        <w:pStyle w:val="3"/>
        <w:tabs>
          <w:tab w:val="right" w:pos="9639"/>
        </w:tabs>
        <w:spacing w:after="120"/>
        <w:ind w:firstLine="709"/>
        <w:jc w:val="both"/>
        <w:rPr>
          <w:szCs w:val="28"/>
        </w:rPr>
      </w:pPr>
      <w:r w:rsidRPr="00B15856">
        <w:rPr>
          <w:szCs w:val="28"/>
        </w:rPr>
        <w:t xml:space="preserve">У разі потреби, клієнту може бути налаштований індивідуальний порядок візування документів, якій відрізняється від типового. Зокрема, з урахуванням штатного розпису та </w:t>
      </w:r>
      <w:r w:rsidRPr="001603A9">
        <w:rPr>
          <w:szCs w:val="28"/>
        </w:rPr>
        <w:t>внутрішньої організації роботи, клієнт може</w:t>
      </w:r>
      <w:r>
        <w:rPr>
          <w:szCs w:val="28"/>
        </w:rPr>
        <w:t xml:space="preserve"> застосовувати додаткові візи, делегувати повноваження візування окремих </w:t>
      </w:r>
      <w:r w:rsidR="00820CCC">
        <w:rPr>
          <w:szCs w:val="28"/>
        </w:rPr>
        <w:t>документів особам, не зазначеним</w:t>
      </w:r>
      <w:r>
        <w:rPr>
          <w:szCs w:val="28"/>
        </w:rPr>
        <w:t xml:space="preserve"> у картці зразків підписів, не застосовувати окрем</w:t>
      </w:r>
      <w:r w:rsidR="0077684F">
        <w:rPr>
          <w:szCs w:val="28"/>
        </w:rPr>
        <w:t>і</w:t>
      </w:r>
      <w:r>
        <w:rPr>
          <w:szCs w:val="28"/>
        </w:rPr>
        <w:t xml:space="preserve"> види віз (наприклад, у випадку відсутності у штатному розписі посади головного бухгалтера), тощо. У</w:t>
      </w:r>
      <w:r w:rsidR="00D955B7" w:rsidRPr="001603A9">
        <w:rPr>
          <w:szCs w:val="28"/>
        </w:rPr>
        <w:t xml:space="preserve"> такому випадку</w:t>
      </w:r>
      <w:r>
        <w:rPr>
          <w:szCs w:val="28"/>
        </w:rPr>
        <w:t xml:space="preserve"> відповідні налаштування здійснюються адміністратором СДО на підставі </w:t>
      </w:r>
      <w:r w:rsidRPr="001603A9">
        <w:rPr>
          <w:szCs w:val="28"/>
        </w:rPr>
        <w:t>Індивідуальн</w:t>
      </w:r>
      <w:r w:rsidR="0077684F">
        <w:rPr>
          <w:szCs w:val="28"/>
        </w:rPr>
        <w:t>ої</w:t>
      </w:r>
      <w:r w:rsidRPr="001603A9">
        <w:rPr>
          <w:szCs w:val="28"/>
        </w:rPr>
        <w:t xml:space="preserve"> схем</w:t>
      </w:r>
      <w:r w:rsidR="00A91E66">
        <w:rPr>
          <w:szCs w:val="28"/>
        </w:rPr>
        <w:t>и</w:t>
      </w:r>
      <w:r w:rsidRPr="001603A9">
        <w:rPr>
          <w:szCs w:val="28"/>
        </w:rPr>
        <w:t xml:space="preserve"> візування документів клієнта</w:t>
      </w:r>
      <w:r>
        <w:rPr>
          <w:szCs w:val="28"/>
        </w:rPr>
        <w:t xml:space="preserve">, яка має бути подана разом </w:t>
      </w:r>
      <w:r w:rsidR="00D955B7" w:rsidRPr="001603A9">
        <w:rPr>
          <w:szCs w:val="28"/>
        </w:rPr>
        <w:t>із Заявою про підключення</w:t>
      </w:r>
      <w:r>
        <w:rPr>
          <w:szCs w:val="28"/>
        </w:rPr>
        <w:t xml:space="preserve">. </w:t>
      </w:r>
      <w:r w:rsidR="00D955B7" w:rsidRPr="001603A9">
        <w:rPr>
          <w:szCs w:val="28"/>
        </w:rPr>
        <w:t xml:space="preserve"> </w:t>
      </w:r>
    </w:p>
    <w:p w:rsidR="00B15856" w:rsidRPr="0077684F" w:rsidRDefault="00B15856" w:rsidP="0077684F">
      <w:pPr>
        <w:pStyle w:val="3"/>
        <w:tabs>
          <w:tab w:val="right" w:pos="9639"/>
        </w:tabs>
        <w:spacing w:after="120"/>
        <w:ind w:firstLine="709"/>
        <w:jc w:val="both"/>
        <w:rPr>
          <w:szCs w:val="28"/>
        </w:rPr>
      </w:pPr>
      <w:r w:rsidRPr="0077684F">
        <w:rPr>
          <w:szCs w:val="28"/>
        </w:rPr>
        <w:t xml:space="preserve">При застосуванні клієнтом типової схеми візування, достатньо відповідної відмітки </w:t>
      </w:r>
      <w:r w:rsidR="0077684F">
        <w:rPr>
          <w:szCs w:val="28"/>
        </w:rPr>
        <w:t>у Заяві про підключення.</w:t>
      </w:r>
    </w:p>
    <w:p w:rsidR="00A91E66" w:rsidRDefault="00B15856" w:rsidP="00A91E66">
      <w:pPr>
        <w:tabs>
          <w:tab w:val="left" w:pos="0"/>
        </w:tabs>
        <w:spacing w:before="120"/>
        <w:ind w:firstLine="709"/>
        <w:jc w:val="both"/>
        <w:rPr>
          <w:bCs/>
          <w:i/>
          <w:sz w:val="28"/>
          <w:szCs w:val="28"/>
          <w:lang w:val="uk-UA"/>
        </w:rPr>
      </w:pPr>
      <w:r w:rsidRPr="00B14BF2">
        <w:rPr>
          <w:sz w:val="28"/>
          <w:szCs w:val="28"/>
          <w:lang w:val="uk-UA"/>
        </w:rPr>
        <w:t>Інформація про типову схему візування та форма Індивідуальної схеми візува</w:t>
      </w:r>
      <w:r w:rsidR="00977F22">
        <w:rPr>
          <w:sz w:val="28"/>
          <w:szCs w:val="28"/>
          <w:lang w:val="uk-UA"/>
        </w:rPr>
        <w:t>ння документів клієнта розміщені</w:t>
      </w:r>
      <w:r w:rsidRPr="00B14BF2">
        <w:rPr>
          <w:sz w:val="28"/>
          <w:szCs w:val="28"/>
          <w:lang w:val="uk-UA"/>
        </w:rPr>
        <w:t xml:space="preserve"> на </w:t>
      </w:r>
      <w:proofErr w:type="spellStart"/>
      <w:r w:rsidRPr="00B14BF2">
        <w:rPr>
          <w:sz w:val="28"/>
          <w:szCs w:val="28"/>
          <w:lang w:val="uk-UA"/>
        </w:rPr>
        <w:t>вебпорталі</w:t>
      </w:r>
      <w:proofErr w:type="spellEnd"/>
      <w:r w:rsidRPr="00B14BF2">
        <w:rPr>
          <w:sz w:val="28"/>
          <w:szCs w:val="28"/>
          <w:lang w:val="uk-UA"/>
        </w:rPr>
        <w:t xml:space="preserve"> </w:t>
      </w:r>
      <w:r w:rsidR="001D4990" w:rsidRPr="002A3789">
        <w:rPr>
          <w:sz w:val="28"/>
          <w:szCs w:val="28"/>
          <w:lang w:val="uk-UA"/>
        </w:rPr>
        <w:t>Казначейства</w:t>
      </w:r>
      <w:r w:rsidRPr="00B14BF2">
        <w:rPr>
          <w:sz w:val="28"/>
          <w:szCs w:val="28"/>
          <w:lang w:val="uk-UA"/>
        </w:rPr>
        <w:t xml:space="preserve"> в розділі </w:t>
      </w:r>
      <w:r w:rsidRPr="00B14BF2">
        <w:rPr>
          <w:bCs/>
          <w:i/>
          <w:sz w:val="28"/>
          <w:szCs w:val="28"/>
          <w:lang w:val="uk-UA"/>
        </w:rPr>
        <w:t>Електронні сервіси &gt; Система дистанційного обслуговування «Клієнт казначейства – Казначейство» &gt; Зразки документів</w:t>
      </w:r>
    </w:p>
    <w:p w:rsidR="00A91E66" w:rsidRPr="00A91E66" w:rsidRDefault="0077684F" w:rsidP="00A91E66">
      <w:pPr>
        <w:tabs>
          <w:tab w:val="left" w:pos="0"/>
        </w:tabs>
        <w:spacing w:before="120"/>
        <w:ind w:firstLine="709"/>
        <w:jc w:val="both"/>
        <w:rPr>
          <w:sz w:val="28"/>
          <w:szCs w:val="28"/>
          <w:lang w:val="uk-UA"/>
        </w:rPr>
      </w:pPr>
      <w:r w:rsidRPr="00A91E66">
        <w:rPr>
          <w:sz w:val="28"/>
          <w:szCs w:val="28"/>
          <w:lang w:val="uk-UA"/>
        </w:rPr>
        <w:t>У</w:t>
      </w:r>
      <w:r w:rsidR="00977F22">
        <w:rPr>
          <w:sz w:val="28"/>
          <w:szCs w:val="28"/>
          <w:lang w:val="uk-UA"/>
        </w:rPr>
        <w:t xml:space="preserve"> пункті 7 клієнт зазначає інформацію щодо </w:t>
      </w:r>
      <w:r w:rsidRPr="00A91E66">
        <w:rPr>
          <w:sz w:val="28"/>
          <w:szCs w:val="28"/>
          <w:lang w:val="uk-UA"/>
        </w:rPr>
        <w:t>викон</w:t>
      </w:r>
      <w:r w:rsidR="00977F22">
        <w:rPr>
          <w:sz w:val="28"/>
          <w:szCs w:val="28"/>
          <w:lang w:val="uk-UA"/>
        </w:rPr>
        <w:t>ання ним функції</w:t>
      </w:r>
      <w:r w:rsidRPr="00A91E66">
        <w:rPr>
          <w:sz w:val="28"/>
          <w:szCs w:val="28"/>
          <w:lang w:val="uk-UA"/>
        </w:rPr>
        <w:t xml:space="preserve"> погодження або затвердження документів інших установ. Зокрема, погодження </w:t>
      </w:r>
      <w:r w:rsidR="003A399D" w:rsidRPr="00A91E66">
        <w:rPr>
          <w:sz w:val="28"/>
          <w:szCs w:val="28"/>
          <w:lang w:val="uk-UA"/>
        </w:rPr>
        <w:t>Подання на повернення помилково або надміру зарахованих до бюджету зборів, платежів та інших доходів бюджету, затвердження Р</w:t>
      </w:r>
      <w:r w:rsidRPr="00A91E66">
        <w:rPr>
          <w:sz w:val="28"/>
          <w:szCs w:val="28"/>
          <w:lang w:val="uk-UA"/>
        </w:rPr>
        <w:t>озпоряджень про виділення коштів з місцевого бюджету, тощо.</w:t>
      </w:r>
    </w:p>
    <w:p w:rsidR="00A91E66" w:rsidRPr="00A91E66" w:rsidRDefault="00820CCC" w:rsidP="00A91E66">
      <w:pPr>
        <w:tabs>
          <w:tab w:val="left" w:pos="0"/>
        </w:tabs>
        <w:spacing w:before="120"/>
        <w:ind w:firstLine="709"/>
        <w:jc w:val="both"/>
        <w:rPr>
          <w:sz w:val="28"/>
          <w:szCs w:val="28"/>
          <w:lang w:val="uk-UA"/>
        </w:rPr>
      </w:pPr>
      <w:r>
        <w:rPr>
          <w:sz w:val="28"/>
          <w:szCs w:val="28"/>
          <w:lang w:val="uk-UA"/>
        </w:rPr>
        <w:t>У пункті 8</w:t>
      </w:r>
      <w:r w:rsidR="003A399D" w:rsidRPr="00A91E66">
        <w:rPr>
          <w:sz w:val="28"/>
          <w:szCs w:val="28"/>
          <w:lang w:val="uk-UA"/>
        </w:rPr>
        <w:t xml:space="preserve"> інформацію заповнюють клієнти, які є органами що контролюють справляння надходжень бюджету.</w:t>
      </w:r>
    </w:p>
    <w:p w:rsidR="00A91E66" w:rsidRPr="00A91E66" w:rsidRDefault="00820CCC" w:rsidP="00A91E66">
      <w:pPr>
        <w:tabs>
          <w:tab w:val="left" w:pos="0"/>
        </w:tabs>
        <w:spacing w:before="120"/>
        <w:ind w:firstLine="709"/>
        <w:jc w:val="both"/>
        <w:rPr>
          <w:sz w:val="28"/>
          <w:szCs w:val="28"/>
          <w:lang w:val="uk-UA"/>
        </w:rPr>
      </w:pPr>
      <w:r>
        <w:rPr>
          <w:sz w:val="28"/>
          <w:szCs w:val="28"/>
          <w:lang w:val="uk-UA"/>
        </w:rPr>
        <w:t>У пункті 9</w:t>
      </w:r>
      <w:r w:rsidR="003A399D" w:rsidRPr="00A91E66">
        <w:rPr>
          <w:sz w:val="28"/>
          <w:szCs w:val="28"/>
          <w:lang w:val="uk-UA"/>
        </w:rPr>
        <w:t xml:space="preserve"> інформацію заповнюють клієнти, які є місцевим фінансовим органом</w:t>
      </w:r>
      <w:r w:rsidR="00977F22">
        <w:rPr>
          <w:sz w:val="28"/>
          <w:szCs w:val="28"/>
          <w:lang w:val="uk-UA"/>
        </w:rPr>
        <w:t>.</w:t>
      </w:r>
    </w:p>
    <w:p w:rsidR="00A91E66" w:rsidRPr="00A91E66" w:rsidRDefault="00D627F5" w:rsidP="00A91E66">
      <w:pPr>
        <w:tabs>
          <w:tab w:val="left" w:pos="0"/>
        </w:tabs>
        <w:spacing w:before="120"/>
        <w:ind w:firstLine="709"/>
        <w:jc w:val="both"/>
        <w:rPr>
          <w:sz w:val="28"/>
          <w:szCs w:val="28"/>
          <w:lang w:val="uk-UA"/>
        </w:rPr>
      </w:pPr>
      <w:r w:rsidRPr="00A91E66">
        <w:rPr>
          <w:sz w:val="28"/>
          <w:szCs w:val="28"/>
          <w:lang w:val="uk-UA"/>
        </w:rPr>
        <w:t>У пункті 10 клієнт зазначає інформацію про код банку (МФО) за яким в органі Казначейства відкриті рахунки на ім’я цього клієнта.</w:t>
      </w:r>
    </w:p>
    <w:p w:rsidR="00A91E66" w:rsidRPr="00A91E66" w:rsidRDefault="00D627F5" w:rsidP="00A91E66">
      <w:pPr>
        <w:tabs>
          <w:tab w:val="left" w:pos="0"/>
        </w:tabs>
        <w:spacing w:before="120"/>
        <w:ind w:firstLine="709"/>
        <w:jc w:val="both"/>
        <w:rPr>
          <w:sz w:val="28"/>
          <w:szCs w:val="28"/>
          <w:lang w:val="uk-UA"/>
        </w:rPr>
      </w:pPr>
      <w:r w:rsidRPr="00A91E66">
        <w:rPr>
          <w:sz w:val="28"/>
          <w:szCs w:val="28"/>
          <w:lang w:val="uk-UA"/>
        </w:rPr>
        <w:t xml:space="preserve">Клієнту та його користувачам в автоматичному режимі буде надаватись доступ до рахунків, які відкриті на ім’я </w:t>
      </w:r>
      <w:r w:rsidR="00820CCC">
        <w:rPr>
          <w:sz w:val="28"/>
          <w:szCs w:val="28"/>
          <w:lang w:val="uk-UA"/>
        </w:rPr>
        <w:t xml:space="preserve">цього </w:t>
      </w:r>
      <w:r w:rsidRPr="00A91E66">
        <w:rPr>
          <w:sz w:val="28"/>
          <w:szCs w:val="28"/>
          <w:lang w:val="uk-UA"/>
        </w:rPr>
        <w:t xml:space="preserve">клієнта в органі Казначейства (у тому числі тих, що відкриті після підключення клієнта та його користувачів до СДО) за типовим переліком субрахунків Плану рахунків бухгалтерського обліку в державному секторі.  Типовий перелік таких субрахунків  розміщений </w:t>
      </w:r>
      <w:proofErr w:type="spellStart"/>
      <w:r w:rsidRPr="00A91E66">
        <w:rPr>
          <w:sz w:val="28"/>
          <w:szCs w:val="28"/>
          <w:lang w:val="uk-UA"/>
        </w:rPr>
        <w:t>вебпорталі</w:t>
      </w:r>
      <w:proofErr w:type="spellEnd"/>
      <w:r w:rsidRPr="00A91E66">
        <w:rPr>
          <w:sz w:val="28"/>
          <w:szCs w:val="28"/>
          <w:lang w:val="uk-UA"/>
        </w:rPr>
        <w:t xml:space="preserve"> Державної казначейської служби України в розділі </w:t>
      </w:r>
      <w:r w:rsidR="00212603" w:rsidRPr="00B14BF2">
        <w:rPr>
          <w:bCs/>
          <w:i/>
          <w:sz w:val="28"/>
          <w:szCs w:val="28"/>
          <w:lang w:val="uk-UA"/>
        </w:rPr>
        <w:t>Електронні сервіси &gt; Система дистанційного обслуговування «Клієнт казначейства – Казначейство» &gt; Зразки документів</w:t>
      </w:r>
    </w:p>
    <w:p w:rsidR="00A91E66" w:rsidRPr="00212603" w:rsidRDefault="00D627F5" w:rsidP="00A91E66">
      <w:pPr>
        <w:tabs>
          <w:tab w:val="left" w:pos="0"/>
        </w:tabs>
        <w:spacing w:before="120"/>
        <w:ind w:firstLine="709"/>
        <w:jc w:val="both"/>
        <w:rPr>
          <w:sz w:val="28"/>
          <w:szCs w:val="28"/>
          <w:lang w:val="uk-UA"/>
        </w:rPr>
      </w:pPr>
      <w:r w:rsidRPr="00212603">
        <w:rPr>
          <w:sz w:val="28"/>
          <w:szCs w:val="28"/>
          <w:lang w:val="uk-UA"/>
        </w:rPr>
        <w:lastRenderedPageBreak/>
        <w:t xml:space="preserve">У випадку необхідності додаткового підключення в СДО інших рахунків, відкритих на ім’я клієнта за субрахунками, що відсутні у типовому переліку, клієнт вказує номера </w:t>
      </w:r>
      <w:r w:rsidR="00212603">
        <w:rPr>
          <w:sz w:val="28"/>
          <w:szCs w:val="28"/>
          <w:lang w:val="uk-UA"/>
        </w:rPr>
        <w:t>таких рахунків у пункті 11 Заяви</w:t>
      </w:r>
      <w:r w:rsidRPr="00212603">
        <w:rPr>
          <w:sz w:val="28"/>
          <w:szCs w:val="28"/>
          <w:lang w:val="uk-UA"/>
        </w:rPr>
        <w:t xml:space="preserve"> про підключення.</w:t>
      </w:r>
    </w:p>
    <w:p w:rsidR="006C79E3" w:rsidRPr="006C79E3" w:rsidRDefault="00264BC5" w:rsidP="00A91E66">
      <w:pPr>
        <w:tabs>
          <w:tab w:val="left" w:pos="0"/>
        </w:tabs>
        <w:spacing w:before="120"/>
        <w:ind w:firstLine="709"/>
        <w:jc w:val="both"/>
        <w:rPr>
          <w:sz w:val="28"/>
          <w:szCs w:val="28"/>
          <w:lang w:val="uk-UA"/>
        </w:rPr>
      </w:pPr>
      <w:r w:rsidRPr="006C79E3">
        <w:rPr>
          <w:sz w:val="28"/>
          <w:szCs w:val="28"/>
          <w:lang w:val="uk-UA"/>
        </w:rPr>
        <w:t>Оформлена Заява про підключення надається до відповідного органу Казнач</w:t>
      </w:r>
      <w:r w:rsidR="006C79E3" w:rsidRPr="006C79E3">
        <w:rPr>
          <w:sz w:val="28"/>
          <w:szCs w:val="28"/>
          <w:lang w:val="uk-UA"/>
        </w:rPr>
        <w:t>ейства за місцем обслуговування, де перевіряється правильність її оформлення, відповідність підписів відповідальних посадових осіб та відбитка печатки установи зразкам.</w:t>
      </w:r>
      <w:r w:rsidR="006C79E3">
        <w:rPr>
          <w:sz w:val="28"/>
          <w:szCs w:val="28"/>
          <w:lang w:val="uk-UA"/>
        </w:rPr>
        <w:t xml:space="preserve"> Заява про підключення може бути подана під час укладання </w:t>
      </w:r>
      <w:r w:rsidR="006C79E3" w:rsidRPr="006C79E3">
        <w:rPr>
          <w:sz w:val="28"/>
          <w:szCs w:val="28"/>
          <w:lang w:val="uk-UA"/>
        </w:rPr>
        <w:t>Договору СДО.</w:t>
      </w:r>
    </w:p>
    <w:p w:rsidR="009A46A8" w:rsidRPr="00347FDE" w:rsidRDefault="009A46A8" w:rsidP="006C79E3">
      <w:pPr>
        <w:jc w:val="both"/>
        <w:rPr>
          <w:bCs/>
          <w:i/>
          <w:szCs w:val="28"/>
        </w:rPr>
      </w:pPr>
    </w:p>
    <w:p w:rsidR="00A573D4" w:rsidRDefault="00A573D4" w:rsidP="00A573D4">
      <w:pPr>
        <w:pStyle w:val="3"/>
        <w:tabs>
          <w:tab w:val="right" w:pos="9639"/>
        </w:tabs>
        <w:spacing w:after="120"/>
        <w:ind w:firstLine="709"/>
        <w:jc w:val="both"/>
        <w:rPr>
          <w:i/>
          <w:szCs w:val="28"/>
        </w:rPr>
      </w:pPr>
      <w:r w:rsidRPr="00212603">
        <w:rPr>
          <w:i/>
          <w:szCs w:val="28"/>
        </w:rPr>
        <w:t xml:space="preserve">Примітка. Клієнти, які були підключені до СДО до 01.01.2022, та не подавали раніше Заяву про підключення, подають її одноразово разом із </w:t>
      </w:r>
      <w:r w:rsidR="00B4732B" w:rsidRPr="00212603">
        <w:rPr>
          <w:i/>
          <w:szCs w:val="28"/>
        </w:rPr>
        <w:t>Заявами про надання доступу до СДО</w:t>
      </w:r>
      <w:r w:rsidRPr="00212603">
        <w:rPr>
          <w:i/>
          <w:szCs w:val="28"/>
        </w:rPr>
        <w:t xml:space="preserve"> нових користувачів</w:t>
      </w:r>
      <w:r w:rsidR="00B4732B" w:rsidRPr="00212603">
        <w:rPr>
          <w:i/>
          <w:szCs w:val="28"/>
        </w:rPr>
        <w:t>, або</w:t>
      </w:r>
      <w:r w:rsidR="00820CCC">
        <w:rPr>
          <w:i/>
          <w:szCs w:val="28"/>
        </w:rPr>
        <w:t xml:space="preserve"> зміною ідентифікаційних даних </w:t>
      </w:r>
      <w:r w:rsidR="00B4732B" w:rsidRPr="00212603">
        <w:rPr>
          <w:i/>
          <w:szCs w:val="28"/>
        </w:rPr>
        <w:t>користувачів</w:t>
      </w:r>
      <w:r w:rsidR="00820CCC">
        <w:rPr>
          <w:i/>
          <w:szCs w:val="28"/>
        </w:rPr>
        <w:t xml:space="preserve">, що були зареєстровані до </w:t>
      </w:r>
      <w:r w:rsidR="00820CCC" w:rsidRPr="00212603">
        <w:rPr>
          <w:i/>
          <w:szCs w:val="28"/>
        </w:rPr>
        <w:t>01.01.2022</w:t>
      </w:r>
      <w:r w:rsidR="00B4732B" w:rsidRPr="00212603">
        <w:rPr>
          <w:i/>
          <w:szCs w:val="28"/>
        </w:rPr>
        <w:t>.</w:t>
      </w:r>
    </w:p>
    <w:p w:rsidR="00264BC5" w:rsidRPr="009A46A8" w:rsidRDefault="00264BC5" w:rsidP="00260F4B">
      <w:pPr>
        <w:ind w:firstLine="709"/>
        <w:rPr>
          <w:sz w:val="28"/>
          <w:szCs w:val="28"/>
          <w:lang w:val="uk-UA"/>
        </w:rPr>
      </w:pPr>
    </w:p>
    <w:p w:rsidR="00260F4B" w:rsidRDefault="00347FDE" w:rsidP="00200D10">
      <w:pPr>
        <w:jc w:val="center"/>
        <w:rPr>
          <w:b/>
          <w:bCs/>
          <w:color w:val="000000"/>
          <w:spacing w:val="-4"/>
          <w:sz w:val="28"/>
          <w:szCs w:val="28"/>
          <w:lang w:val="uk-UA"/>
        </w:rPr>
      </w:pPr>
      <w:r>
        <w:rPr>
          <w:b/>
          <w:bCs/>
          <w:color w:val="000000"/>
          <w:spacing w:val="-4"/>
          <w:sz w:val="28"/>
          <w:szCs w:val="28"/>
          <w:lang w:val="uk-UA"/>
        </w:rPr>
        <w:t>3</w:t>
      </w:r>
      <w:r w:rsidR="00260F4B" w:rsidRPr="009A46A8">
        <w:rPr>
          <w:b/>
          <w:bCs/>
          <w:color w:val="000000"/>
          <w:spacing w:val="-4"/>
          <w:sz w:val="28"/>
          <w:szCs w:val="28"/>
          <w:lang w:val="uk-UA"/>
        </w:rPr>
        <w:t xml:space="preserve">. </w:t>
      </w:r>
      <w:r w:rsidR="00562484">
        <w:rPr>
          <w:b/>
          <w:bCs/>
          <w:color w:val="000000"/>
          <w:spacing w:val="-4"/>
          <w:sz w:val="28"/>
          <w:szCs w:val="28"/>
          <w:lang w:val="uk-UA"/>
        </w:rPr>
        <w:t>Отримання кваліфікованого електронного підпису та печатки</w:t>
      </w:r>
    </w:p>
    <w:p w:rsidR="00AC5A44" w:rsidRPr="009A46A8" w:rsidRDefault="00AC5A44" w:rsidP="00260F4B">
      <w:pPr>
        <w:ind w:firstLine="709"/>
        <w:jc w:val="both"/>
        <w:rPr>
          <w:b/>
          <w:bCs/>
          <w:color w:val="000000"/>
          <w:spacing w:val="-4"/>
          <w:sz w:val="28"/>
          <w:szCs w:val="28"/>
          <w:lang w:val="uk-UA"/>
        </w:rPr>
      </w:pPr>
    </w:p>
    <w:p w:rsidR="008E2F3A" w:rsidRDefault="00F0367C" w:rsidP="00745E35">
      <w:pPr>
        <w:jc w:val="center"/>
        <w:rPr>
          <w:sz w:val="28"/>
          <w:szCs w:val="28"/>
          <w:lang w:val="uk-UA"/>
        </w:rPr>
      </w:pPr>
      <w:r>
        <w:rPr>
          <w:noProof/>
          <w:lang w:val="uk-UA" w:eastAsia="uk-UA"/>
        </w:rPr>
        <w:drawing>
          <wp:inline distT="0" distB="0" distL="0" distR="0">
            <wp:extent cx="1081101" cy="1116000"/>
            <wp:effectExtent l="19050" t="0" r="4749"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081101" cy="1116000"/>
                    </a:xfrm>
                    <a:prstGeom prst="rect">
                      <a:avLst/>
                    </a:prstGeom>
                    <a:noFill/>
                    <a:ln w="9525">
                      <a:noFill/>
                      <a:miter lim="800000"/>
                      <a:headEnd/>
                      <a:tailEnd/>
                    </a:ln>
                  </pic:spPr>
                </pic:pic>
              </a:graphicData>
            </a:graphic>
          </wp:inline>
        </w:drawing>
      </w:r>
    </w:p>
    <w:p w:rsidR="008E2F3A" w:rsidRDefault="008E2F3A" w:rsidP="001D52EF">
      <w:pPr>
        <w:spacing w:before="120"/>
        <w:ind w:firstLine="709"/>
        <w:jc w:val="both"/>
        <w:rPr>
          <w:sz w:val="28"/>
          <w:szCs w:val="28"/>
          <w:lang w:val="uk-UA"/>
        </w:rPr>
      </w:pPr>
      <w:r>
        <w:rPr>
          <w:sz w:val="28"/>
          <w:szCs w:val="28"/>
          <w:lang w:val="uk-UA"/>
        </w:rPr>
        <w:t>Умовою роботи в СДО є наявність в користувач</w:t>
      </w:r>
      <w:r w:rsidR="008D308A">
        <w:rPr>
          <w:sz w:val="28"/>
          <w:szCs w:val="28"/>
          <w:lang w:val="uk-UA"/>
        </w:rPr>
        <w:t>а (посадової осо</w:t>
      </w:r>
      <w:r w:rsidR="00977F22">
        <w:rPr>
          <w:sz w:val="28"/>
          <w:szCs w:val="28"/>
          <w:lang w:val="uk-UA"/>
        </w:rPr>
        <w:t>б</w:t>
      </w:r>
      <w:r w:rsidR="008D308A">
        <w:rPr>
          <w:sz w:val="28"/>
          <w:szCs w:val="28"/>
          <w:lang w:val="uk-UA"/>
        </w:rPr>
        <w:t>и</w:t>
      </w:r>
      <w:r w:rsidR="00977F22">
        <w:rPr>
          <w:sz w:val="28"/>
          <w:szCs w:val="28"/>
          <w:lang w:val="uk-UA"/>
        </w:rPr>
        <w:t xml:space="preserve"> клієнта)</w:t>
      </w:r>
      <w:r>
        <w:rPr>
          <w:sz w:val="28"/>
          <w:szCs w:val="28"/>
          <w:lang w:val="uk-UA"/>
        </w:rPr>
        <w:t xml:space="preserve"> кваліфікован</w:t>
      </w:r>
      <w:r w:rsidR="008D308A">
        <w:rPr>
          <w:sz w:val="28"/>
          <w:szCs w:val="28"/>
          <w:lang w:val="uk-UA"/>
        </w:rPr>
        <w:t>ого</w:t>
      </w:r>
      <w:r w:rsidR="00977F22">
        <w:rPr>
          <w:sz w:val="28"/>
          <w:szCs w:val="28"/>
          <w:lang w:val="uk-UA"/>
        </w:rPr>
        <w:t xml:space="preserve"> сертифікат</w:t>
      </w:r>
      <w:r w:rsidR="008D308A">
        <w:rPr>
          <w:sz w:val="28"/>
          <w:szCs w:val="28"/>
          <w:lang w:val="uk-UA"/>
        </w:rPr>
        <w:t>у</w:t>
      </w:r>
      <w:r w:rsidR="00977F22">
        <w:rPr>
          <w:sz w:val="28"/>
          <w:szCs w:val="28"/>
          <w:lang w:val="uk-UA"/>
        </w:rPr>
        <w:t xml:space="preserve"> </w:t>
      </w:r>
      <w:r>
        <w:rPr>
          <w:sz w:val="28"/>
          <w:szCs w:val="28"/>
          <w:lang w:val="uk-UA"/>
        </w:rPr>
        <w:t xml:space="preserve">електронного підпису </w:t>
      </w:r>
      <w:r w:rsidR="00977F22">
        <w:rPr>
          <w:sz w:val="28"/>
          <w:szCs w:val="28"/>
          <w:lang w:val="uk-UA"/>
        </w:rPr>
        <w:t>та/ або печатк</w:t>
      </w:r>
      <w:r w:rsidR="008D308A">
        <w:rPr>
          <w:sz w:val="28"/>
          <w:szCs w:val="28"/>
          <w:lang w:val="uk-UA"/>
        </w:rPr>
        <w:t>и,</w:t>
      </w:r>
      <w:r w:rsidR="00977F22">
        <w:rPr>
          <w:sz w:val="28"/>
          <w:szCs w:val="28"/>
          <w:lang w:val="uk-UA"/>
        </w:rPr>
        <w:t xml:space="preserve"> сформован</w:t>
      </w:r>
      <w:r w:rsidR="008D308A">
        <w:rPr>
          <w:sz w:val="28"/>
          <w:szCs w:val="28"/>
          <w:lang w:val="uk-UA"/>
        </w:rPr>
        <w:t>ого</w:t>
      </w:r>
      <w:r w:rsidR="00977F22">
        <w:rPr>
          <w:sz w:val="28"/>
          <w:szCs w:val="28"/>
          <w:lang w:val="uk-UA"/>
        </w:rPr>
        <w:t xml:space="preserve"> </w:t>
      </w:r>
      <w:r>
        <w:rPr>
          <w:sz w:val="28"/>
          <w:szCs w:val="28"/>
          <w:lang w:val="uk-UA"/>
        </w:rPr>
        <w:t xml:space="preserve"> </w:t>
      </w:r>
      <w:r w:rsidRPr="00AF2484">
        <w:rPr>
          <w:sz w:val="28"/>
          <w:szCs w:val="28"/>
          <w:lang w:val="uk-UA"/>
        </w:rPr>
        <w:t>Кваліфікован</w:t>
      </w:r>
      <w:r w:rsidR="00977F22">
        <w:rPr>
          <w:sz w:val="28"/>
          <w:szCs w:val="28"/>
          <w:lang w:val="uk-UA"/>
        </w:rPr>
        <w:t>им надавачем</w:t>
      </w:r>
      <w:r w:rsidRPr="00AF2484">
        <w:rPr>
          <w:sz w:val="28"/>
          <w:szCs w:val="28"/>
          <w:lang w:val="uk-UA"/>
        </w:rPr>
        <w:t xml:space="preserve"> електронних довірчих послуг Державної казначейської служби України</w:t>
      </w:r>
      <w:r w:rsidR="001D4990">
        <w:rPr>
          <w:sz w:val="28"/>
          <w:szCs w:val="28"/>
          <w:lang w:val="uk-UA"/>
        </w:rPr>
        <w:t xml:space="preserve"> (далі - КНЕДП ДКСУ)</w:t>
      </w:r>
      <w:r>
        <w:rPr>
          <w:sz w:val="28"/>
          <w:szCs w:val="28"/>
          <w:lang w:val="uk-UA"/>
        </w:rPr>
        <w:t>.</w:t>
      </w:r>
    </w:p>
    <w:p w:rsidR="0056695E" w:rsidRPr="001D4990" w:rsidRDefault="0056695E" w:rsidP="001D52EF">
      <w:pPr>
        <w:spacing w:before="120"/>
        <w:ind w:firstLine="709"/>
        <w:jc w:val="both"/>
        <w:rPr>
          <w:sz w:val="28"/>
          <w:szCs w:val="28"/>
          <w:lang w:val="uk-UA"/>
        </w:rPr>
      </w:pPr>
      <w:r w:rsidRPr="001D4990">
        <w:rPr>
          <w:sz w:val="28"/>
          <w:szCs w:val="28"/>
          <w:lang w:val="uk-UA"/>
        </w:rPr>
        <w:t xml:space="preserve">Кваліфіковані довірчі послуги надаються Казначейством на умовах та з дотриманнях вимог визначеними </w:t>
      </w:r>
      <w:r w:rsidRPr="001D4990">
        <w:rPr>
          <w:i/>
          <w:sz w:val="28"/>
          <w:szCs w:val="28"/>
          <w:lang w:val="uk-UA"/>
        </w:rPr>
        <w:t>Законом України "Про електронні довірчі послуги"</w:t>
      </w:r>
      <w:r w:rsidRPr="001D4990">
        <w:rPr>
          <w:sz w:val="28"/>
          <w:szCs w:val="28"/>
          <w:lang w:val="uk-UA"/>
        </w:rPr>
        <w:t>, Регламентом роботи кваліфікованого надавача електронних довірчих послуг Казначейства (далі - Регламент) та Договором про надання кваліфікованих електронних довірчих послуг</w:t>
      </w:r>
      <w:r w:rsidR="001D4990">
        <w:rPr>
          <w:sz w:val="28"/>
          <w:szCs w:val="28"/>
          <w:lang w:val="uk-UA"/>
        </w:rPr>
        <w:t>.</w:t>
      </w:r>
    </w:p>
    <w:p w:rsidR="00C222DD" w:rsidRPr="00C222DD" w:rsidRDefault="00977F22" w:rsidP="001D52EF">
      <w:pPr>
        <w:spacing w:before="120"/>
        <w:ind w:firstLine="709"/>
        <w:jc w:val="both"/>
        <w:rPr>
          <w:sz w:val="28"/>
          <w:szCs w:val="28"/>
          <w:lang w:val="uk-UA"/>
        </w:rPr>
      </w:pPr>
      <w:r>
        <w:rPr>
          <w:sz w:val="28"/>
          <w:szCs w:val="28"/>
          <w:lang w:val="uk-UA"/>
        </w:rPr>
        <w:t>Інформація про умови надання кваліфікованих довірчих послуг КНЕДП ДКСУ, зразки та форми документів що подаються для їх отримання</w:t>
      </w:r>
      <w:r w:rsidR="008D308A">
        <w:rPr>
          <w:sz w:val="28"/>
          <w:szCs w:val="28"/>
          <w:lang w:val="uk-UA"/>
        </w:rPr>
        <w:t>, розміщені</w:t>
      </w:r>
      <w:r>
        <w:rPr>
          <w:sz w:val="28"/>
          <w:szCs w:val="28"/>
          <w:lang w:val="uk-UA"/>
        </w:rPr>
        <w:t xml:space="preserve"> </w:t>
      </w:r>
      <w:r w:rsidR="00AF2484" w:rsidRPr="001D4990">
        <w:rPr>
          <w:sz w:val="28"/>
          <w:szCs w:val="28"/>
          <w:lang w:val="uk-UA"/>
        </w:rPr>
        <w:t xml:space="preserve">на </w:t>
      </w:r>
      <w:proofErr w:type="spellStart"/>
      <w:r w:rsidR="00AF2484" w:rsidRPr="001D4990">
        <w:rPr>
          <w:sz w:val="28"/>
          <w:szCs w:val="28"/>
          <w:lang w:val="uk-UA"/>
        </w:rPr>
        <w:t>вебсайті</w:t>
      </w:r>
      <w:proofErr w:type="spellEnd"/>
      <w:r w:rsidR="00AF2484" w:rsidRPr="001D4990">
        <w:rPr>
          <w:sz w:val="28"/>
          <w:szCs w:val="28"/>
          <w:lang w:val="uk-UA"/>
        </w:rPr>
        <w:t xml:space="preserve"> </w:t>
      </w:r>
      <w:r w:rsidR="00220648">
        <w:rPr>
          <w:sz w:val="28"/>
          <w:szCs w:val="28"/>
          <w:lang w:val="uk-UA"/>
        </w:rPr>
        <w:t>Казначейства</w:t>
      </w:r>
      <w:r w:rsidR="001D4990">
        <w:rPr>
          <w:sz w:val="28"/>
          <w:szCs w:val="28"/>
          <w:lang w:val="uk-UA"/>
        </w:rPr>
        <w:t xml:space="preserve"> </w:t>
      </w:r>
      <w:r w:rsidR="00C222DD">
        <w:rPr>
          <w:sz w:val="28"/>
          <w:szCs w:val="28"/>
          <w:lang w:val="uk-UA"/>
        </w:rPr>
        <w:t xml:space="preserve">в розділі </w:t>
      </w:r>
      <w:r w:rsidR="00C222DD" w:rsidRPr="00C222DD">
        <w:rPr>
          <w:i/>
          <w:sz w:val="28"/>
          <w:szCs w:val="28"/>
          <w:lang w:val="uk-UA"/>
        </w:rPr>
        <w:t>Електронні сервіси &gt;Кваліфіковані електронні довірчі послуги &gt;</w:t>
      </w:r>
      <w:r w:rsidR="00C222DD" w:rsidRPr="00C222DD">
        <w:rPr>
          <w:sz w:val="28"/>
          <w:szCs w:val="28"/>
          <w:lang w:val="uk-UA"/>
        </w:rPr>
        <w:t xml:space="preserve">  </w:t>
      </w:r>
      <w:r w:rsidR="00C222DD" w:rsidRPr="00C222DD">
        <w:rPr>
          <w:bCs/>
          <w:i/>
          <w:sz w:val="28"/>
          <w:szCs w:val="28"/>
          <w:lang w:val="uk-UA"/>
        </w:rPr>
        <w:t>Інформація &gt; Нормативні документи</w:t>
      </w:r>
    </w:p>
    <w:p w:rsidR="001D4990" w:rsidRPr="002A3789" w:rsidRDefault="00C222DD" w:rsidP="001D52EF">
      <w:pPr>
        <w:spacing w:before="120"/>
        <w:ind w:firstLine="709"/>
        <w:jc w:val="both"/>
        <w:rPr>
          <w:sz w:val="28"/>
          <w:szCs w:val="28"/>
          <w:lang w:val="uk-UA"/>
        </w:rPr>
      </w:pPr>
      <w:r>
        <w:rPr>
          <w:sz w:val="28"/>
          <w:szCs w:val="28"/>
          <w:lang w:val="uk-UA"/>
        </w:rPr>
        <w:t>Відповідно до вимог законодавства, к</w:t>
      </w:r>
      <w:r w:rsidR="001D4990">
        <w:rPr>
          <w:sz w:val="28"/>
          <w:szCs w:val="28"/>
          <w:lang w:val="uk-UA"/>
        </w:rPr>
        <w:t xml:space="preserve">валіфіковані електронні підписи </w:t>
      </w:r>
      <w:r>
        <w:rPr>
          <w:sz w:val="28"/>
          <w:szCs w:val="28"/>
          <w:lang w:val="uk-UA"/>
        </w:rPr>
        <w:t>та або печатка мають</w:t>
      </w:r>
      <w:r w:rsidR="001D4990">
        <w:rPr>
          <w:sz w:val="28"/>
          <w:szCs w:val="28"/>
          <w:lang w:val="uk-UA"/>
        </w:rPr>
        <w:t xml:space="preserve"> </w:t>
      </w:r>
      <w:r>
        <w:rPr>
          <w:sz w:val="28"/>
          <w:szCs w:val="28"/>
          <w:lang w:val="uk-UA"/>
        </w:rPr>
        <w:t>бути записані на</w:t>
      </w:r>
      <w:r w:rsidR="001D4990">
        <w:rPr>
          <w:sz w:val="28"/>
          <w:szCs w:val="28"/>
          <w:lang w:val="uk-UA"/>
        </w:rPr>
        <w:t xml:space="preserve"> захищені носії особистих ключів (далі –</w:t>
      </w:r>
      <w:r w:rsidR="001D4990" w:rsidRPr="002A3789">
        <w:rPr>
          <w:sz w:val="28"/>
          <w:szCs w:val="28"/>
          <w:lang w:val="uk-UA"/>
        </w:rPr>
        <w:t xml:space="preserve"> ЗНОК</w:t>
      </w:r>
      <w:r w:rsidR="001D4990">
        <w:rPr>
          <w:sz w:val="28"/>
          <w:szCs w:val="28"/>
          <w:lang w:val="uk-UA"/>
        </w:rPr>
        <w:t>)</w:t>
      </w:r>
      <w:r>
        <w:rPr>
          <w:sz w:val="28"/>
          <w:szCs w:val="28"/>
          <w:lang w:val="uk-UA"/>
        </w:rPr>
        <w:t>. Перелік ЗНОК, робота яких підтримується в СДО розміщено</w:t>
      </w:r>
      <w:r w:rsidR="001D4990" w:rsidRPr="002A3789">
        <w:rPr>
          <w:sz w:val="28"/>
          <w:szCs w:val="28"/>
          <w:lang w:val="uk-UA"/>
        </w:rPr>
        <w:t xml:space="preserve"> на </w:t>
      </w:r>
      <w:proofErr w:type="spellStart"/>
      <w:r w:rsidR="001D4990">
        <w:rPr>
          <w:sz w:val="28"/>
          <w:szCs w:val="28"/>
          <w:lang w:val="uk-UA"/>
        </w:rPr>
        <w:t>веб</w:t>
      </w:r>
      <w:r w:rsidR="001D4990" w:rsidRPr="002A3789">
        <w:rPr>
          <w:sz w:val="28"/>
          <w:szCs w:val="28"/>
          <w:lang w:val="uk-UA"/>
        </w:rPr>
        <w:t>порталі</w:t>
      </w:r>
      <w:proofErr w:type="spellEnd"/>
      <w:r w:rsidR="001D4990" w:rsidRPr="002A3789">
        <w:rPr>
          <w:sz w:val="28"/>
          <w:szCs w:val="28"/>
          <w:lang w:val="uk-UA"/>
        </w:rPr>
        <w:t xml:space="preserve">  Казначейства</w:t>
      </w:r>
      <w:r w:rsidR="00580FA7">
        <w:rPr>
          <w:sz w:val="28"/>
          <w:szCs w:val="28"/>
          <w:lang w:val="uk-UA"/>
        </w:rPr>
        <w:t xml:space="preserve"> в розділі </w:t>
      </w:r>
      <w:r w:rsidR="001D4990" w:rsidRPr="002A3789">
        <w:rPr>
          <w:sz w:val="28"/>
          <w:szCs w:val="28"/>
          <w:lang w:val="uk-UA"/>
        </w:rPr>
        <w:t xml:space="preserve"> </w:t>
      </w:r>
      <w:r w:rsidR="001D4990" w:rsidRPr="00580FA7">
        <w:rPr>
          <w:i/>
          <w:sz w:val="28"/>
          <w:szCs w:val="28"/>
          <w:lang w:val="uk-UA"/>
        </w:rPr>
        <w:t>Електронні сервіси &gt; Система дистанційного обслуговування «Клієнт казначейства – Казначейство» &gt; Інформаційно-довідкові документи &gt; Вимоги до носіїв ключової інформації</w:t>
      </w:r>
      <w:r w:rsidR="001D4990" w:rsidRPr="002A3789">
        <w:rPr>
          <w:sz w:val="28"/>
          <w:szCs w:val="28"/>
          <w:lang w:val="uk-UA"/>
        </w:rPr>
        <w:t>.</w:t>
      </w:r>
    </w:p>
    <w:p w:rsidR="001D4990" w:rsidRPr="006D3177" w:rsidRDefault="006D3177" w:rsidP="001D52EF">
      <w:pPr>
        <w:tabs>
          <w:tab w:val="center" w:pos="993"/>
        </w:tabs>
        <w:spacing w:before="120"/>
        <w:ind w:firstLine="680"/>
        <w:jc w:val="both"/>
        <w:rPr>
          <w:b/>
          <w:i/>
          <w:spacing w:val="-2"/>
          <w:sz w:val="28"/>
          <w:szCs w:val="28"/>
          <w:lang w:val="uk-UA"/>
        </w:rPr>
      </w:pPr>
      <w:r w:rsidRPr="006D3177">
        <w:rPr>
          <w:i/>
          <w:sz w:val="28"/>
          <w:szCs w:val="28"/>
          <w:lang w:val="uk-UA"/>
        </w:rPr>
        <w:t xml:space="preserve">Примітка. </w:t>
      </w:r>
      <w:r w:rsidR="001D4990" w:rsidRPr="006D3177">
        <w:rPr>
          <w:i/>
          <w:spacing w:val="-2"/>
          <w:sz w:val="28"/>
          <w:szCs w:val="28"/>
          <w:lang w:val="uk-UA"/>
        </w:rPr>
        <w:t>Звертаємо увагу, що згідно Регламенту</w:t>
      </w:r>
      <w:r w:rsidR="00562484" w:rsidRPr="006D3177">
        <w:rPr>
          <w:i/>
          <w:spacing w:val="-2"/>
          <w:sz w:val="28"/>
          <w:szCs w:val="28"/>
          <w:lang w:val="uk-UA"/>
        </w:rPr>
        <w:t>,</w:t>
      </w:r>
      <w:r w:rsidR="001D4990" w:rsidRPr="006D3177">
        <w:rPr>
          <w:b/>
          <w:i/>
          <w:spacing w:val="-2"/>
          <w:sz w:val="28"/>
          <w:szCs w:val="28"/>
          <w:lang w:val="uk-UA"/>
        </w:rPr>
        <w:t xml:space="preserve"> </w:t>
      </w:r>
      <w:r w:rsidR="001D4990" w:rsidRPr="006D3177">
        <w:rPr>
          <w:i/>
          <w:spacing w:val="-2"/>
          <w:sz w:val="28"/>
          <w:szCs w:val="28"/>
          <w:lang w:val="uk-UA"/>
        </w:rPr>
        <w:t xml:space="preserve">Казначейство не здійснює продаж або безоплатне надання </w:t>
      </w:r>
      <w:r w:rsidR="00580FA7" w:rsidRPr="006D3177">
        <w:rPr>
          <w:i/>
          <w:spacing w:val="-2"/>
          <w:sz w:val="28"/>
          <w:szCs w:val="28"/>
          <w:lang w:val="uk-UA"/>
        </w:rPr>
        <w:t>ЗНОК</w:t>
      </w:r>
      <w:r w:rsidR="00C222DD" w:rsidRPr="006D3177">
        <w:rPr>
          <w:i/>
          <w:spacing w:val="-2"/>
          <w:sz w:val="28"/>
          <w:szCs w:val="28"/>
          <w:lang w:val="uk-UA"/>
        </w:rPr>
        <w:t>, їх придбання клієнт здійснює самостійно</w:t>
      </w:r>
      <w:r w:rsidR="00C222DD" w:rsidRPr="006D3177">
        <w:rPr>
          <w:b/>
          <w:i/>
          <w:spacing w:val="-2"/>
          <w:sz w:val="28"/>
          <w:szCs w:val="28"/>
          <w:lang w:val="uk-UA"/>
        </w:rPr>
        <w:t>.</w:t>
      </w:r>
      <w:r w:rsidR="001D4990" w:rsidRPr="006D3177">
        <w:rPr>
          <w:b/>
          <w:i/>
          <w:spacing w:val="-2"/>
          <w:sz w:val="28"/>
          <w:szCs w:val="28"/>
          <w:lang w:val="uk-UA"/>
        </w:rPr>
        <w:t xml:space="preserve"> </w:t>
      </w:r>
    </w:p>
    <w:p w:rsidR="00260F4B" w:rsidRPr="009A46A8" w:rsidRDefault="00260F4B" w:rsidP="001D52EF">
      <w:pPr>
        <w:spacing w:before="120"/>
        <w:ind w:firstLine="709"/>
        <w:jc w:val="center"/>
        <w:rPr>
          <w:lang w:val="uk-UA"/>
        </w:rPr>
      </w:pPr>
    </w:p>
    <w:p w:rsidR="00B60311" w:rsidRDefault="00347FDE" w:rsidP="00A21D76">
      <w:pPr>
        <w:ind w:firstLine="709"/>
        <w:jc w:val="center"/>
        <w:rPr>
          <w:b/>
          <w:bCs/>
          <w:color w:val="000000"/>
          <w:spacing w:val="-4"/>
          <w:sz w:val="28"/>
          <w:szCs w:val="28"/>
          <w:lang w:val="uk-UA"/>
        </w:rPr>
      </w:pPr>
      <w:r>
        <w:rPr>
          <w:b/>
          <w:bCs/>
          <w:color w:val="000000"/>
          <w:spacing w:val="-4"/>
          <w:sz w:val="28"/>
          <w:szCs w:val="28"/>
          <w:lang w:val="uk-UA"/>
        </w:rPr>
        <w:lastRenderedPageBreak/>
        <w:t>4</w:t>
      </w:r>
      <w:r w:rsidR="00260F4B" w:rsidRPr="009A46A8">
        <w:rPr>
          <w:b/>
          <w:bCs/>
          <w:color w:val="000000"/>
          <w:spacing w:val="-4"/>
          <w:sz w:val="28"/>
          <w:szCs w:val="28"/>
          <w:lang w:val="uk-UA"/>
        </w:rPr>
        <w:t xml:space="preserve">. </w:t>
      </w:r>
      <w:r w:rsidR="00B60311">
        <w:rPr>
          <w:b/>
          <w:bCs/>
          <w:color w:val="000000"/>
          <w:spacing w:val="-4"/>
          <w:sz w:val="28"/>
          <w:szCs w:val="28"/>
          <w:lang w:val="uk-UA"/>
        </w:rPr>
        <w:t>Налаштування робочого місця для роботи в СДО</w:t>
      </w:r>
    </w:p>
    <w:p w:rsidR="00AC5A44" w:rsidRDefault="00AC5A44" w:rsidP="00260F4B">
      <w:pPr>
        <w:ind w:firstLine="709"/>
        <w:jc w:val="both"/>
        <w:rPr>
          <w:b/>
          <w:bCs/>
          <w:color w:val="000000"/>
          <w:spacing w:val="-4"/>
          <w:sz w:val="28"/>
          <w:szCs w:val="28"/>
          <w:lang w:val="uk-UA"/>
        </w:rPr>
      </w:pPr>
    </w:p>
    <w:p w:rsidR="00260F4B" w:rsidRPr="00580FA7" w:rsidRDefault="00B60311" w:rsidP="00260F4B">
      <w:pPr>
        <w:ind w:firstLine="709"/>
        <w:jc w:val="center"/>
        <w:rPr>
          <w:sz w:val="28"/>
          <w:szCs w:val="28"/>
          <w:lang w:val="uk-UA"/>
        </w:rPr>
      </w:pPr>
      <w:r w:rsidRPr="00580FA7">
        <w:rPr>
          <w:sz w:val="28"/>
          <w:szCs w:val="28"/>
          <w:lang w:val="uk-UA"/>
        </w:rPr>
        <w:object w:dxaOrig="2355" w:dyaOrig="2295">
          <v:shape id="_x0000_i1026" type="#_x0000_t75" style="width:89.6pt;height:75.35pt" o:ole="">
            <v:imagedata r:id="rId9" o:title=""/>
          </v:shape>
          <o:OLEObject Type="Embed" ProgID="PBrush" ShapeID="_x0000_i1026" DrawAspect="Content" ObjectID="_1711369091" r:id="rId10"/>
        </w:object>
      </w:r>
    </w:p>
    <w:p w:rsidR="00562484" w:rsidRPr="00F0367C" w:rsidRDefault="00562484" w:rsidP="001D52EF">
      <w:pPr>
        <w:tabs>
          <w:tab w:val="left" w:pos="993"/>
        </w:tabs>
        <w:spacing w:before="120"/>
        <w:ind w:firstLine="709"/>
        <w:jc w:val="both"/>
        <w:rPr>
          <w:i/>
          <w:sz w:val="28"/>
          <w:szCs w:val="28"/>
          <w:lang w:val="uk-UA"/>
        </w:rPr>
      </w:pPr>
      <w:r>
        <w:rPr>
          <w:sz w:val="28"/>
          <w:szCs w:val="28"/>
          <w:lang w:val="uk-UA"/>
        </w:rPr>
        <w:t xml:space="preserve">Робоче місце користувача для роботи в СДО має відповідати вимогам, що розміщені </w:t>
      </w:r>
      <w:r w:rsidRPr="002A3789">
        <w:rPr>
          <w:sz w:val="28"/>
          <w:szCs w:val="28"/>
          <w:lang w:val="uk-UA"/>
        </w:rPr>
        <w:t xml:space="preserve">на </w:t>
      </w:r>
      <w:proofErr w:type="spellStart"/>
      <w:r>
        <w:rPr>
          <w:sz w:val="28"/>
          <w:szCs w:val="28"/>
          <w:lang w:val="uk-UA"/>
        </w:rPr>
        <w:t>веб</w:t>
      </w:r>
      <w:r w:rsidRPr="002A3789">
        <w:rPr>
          <w:sz w:val="28"/>
          <w:szCs w:val="28"/>
          <w:lang w:val="uk-UA"/>
        </w:rPr>
        <w:t>порталі</w:t>
      </w:r>
      <w:proofErr w:type="spellEnd"/>
      <w:r w:rsidRPr="002A3789">
        <w:rPr>
          <w:sz w:val="28"/>
          <w:szCs w:val="28"/>
          <w:lang w:val="uk-UA"/>
        </w:rPr>
        <w:t xml:space="preserve">  Казначейства</w:t>
      </w:r>
      <w:r>
        <w:rPr>
          <w:sz w:val="28"/>
          <w:szCs w:val="28"/>
          <w:lang w:val="uk-UA"/>
        </w:rPr>
        <w:t xml:space="preserve"> в розділі </w:t>
      </w:r>
      <w:r w:rsidRPr="002A3789">
        <w:rPr>
          <w:sz w:val="28"/>
          <w:szCs w:val="28"/>
          <w:lang w:val="uk-UA"/>
        </w:rPr>
        <w:t xml:space="preserve"> </w:t>
      </w:r>
      <w:r w:rsidRPr="00580FA7">
        <w:rPr>
          <w:i/>
          <w:sz w:val="28"/>
          <w:szCs w:val="28"/>
          <w:lang w:val="uk-UA"/>
        </w:rPr>
        <w:t xml:space="preserve">Електронні сервіси &gt; Система дистанційного обслуговування «Клієнт казначейства – Казначейство» &gt; Інформаційно-довідкові </w:t>
      </w:r>
      <w:r w:rsidRPr="00F0367C">
        <w:rPr>
          <w:i/>
          <w:sz w:val="28"/>
          <w:szCs w:val="28"/>
          <w:lang w:val="uk-UA"/>
        </w:rPr>
        <w:t xml:space="preserve">документи &gt; </w:t>
      </w:r>
      <w:r w:rsidR="00F0367C" w:rsidRPr="00F0367C">
        <w:rPr>
          <w:i/>
          <w:sz w:val="28"/>
          <w:szCs w:val="28"/>
          <w:lang w:val="uk-UA"/>
        </w:rPr>
        <w:t>вимоги до робочого місця особи, відповідальної за КЕП у СДО</w:t>
      </w:r>
    </w:p>
    <w:p w:rsidR="00D01B40" w:rsidRPr="00580FA7" w:rsidRDefault="00D01B40" w:rsidP="001D52EF">
      <w:pPr>
        <w:spacing w:before="120"/>
        <w:ind w:firstLine="709"/>
        <w:jc w:val="both"/>
        <w:rPr>
          <w:sz w:val="28"/>
          <w:szCs w:val="28"/>
          <w:lang w:val="uk-UA"/>
        </w:rPr>
      </w:pPr>
      <w:r w:rsidRPr="00580FA7">
        <w:rPr>
          <w:sz w:val="28"/>
          <w:szCs w:val="28"/>
          <w:lang w:val="uk-UA"/>
        </w:rPr>
        <w:t xml:space="preserve">Підключення до СДО здійснюється мережею Інтернет </w:t>
      </w:r>
      <w:r w:rsidRPr="00580FA7">
        <w:rPr>
          <w:bCs/>
          <w:color w:val="000000"/>
          <w:sz w:val="28"/>
          <w:szCs w:val="28"/>
          <w:lang w:val="uk-UA"/>
        </w:rPr>
        <w:t>через захищену сесію, яка встановлюється за допомогою комплексу криптографічного захисту інформації Казначейства</w:t>
      </w:r>
      <w:r w:rsidRPr="00580FA7">
        <w:rPr>
          <w:sz w:val="28"/>
          <w:szCs w:val="28"/>
          <w:lang w:val="uk-UA"/>
        </w:rPr>
        <w:t xml:space="preserve"> (далі - Комплекс).</w:t>
      </w:r>
    </w:p>
    <w:p w:rsidR="006D3177" w:rsidRDefault="00D01B40" w:rsidP="001D52EF">
      <w:pPr>
        <w:spacing w:before="120"/>
        <w:ind w:firstLine="709"/>
        <w:jc w:val="both"/>
        <w:rPr>
          <w:sz w:val="28"/>
          <w:szCs w:val="28"/>
          <w:lang w:val="uk-UA"/>
        </w:rPr>
      </w:pPr>
      <w:r w:rsidRPr="00580FA7">
        <w:rPr>
          <w:sz w:val="28"/>
          <w:szCs w:val="28"/>
          <w:lang w:val="uk-UA"/>
        </w:rPr>
        <w:t xml:space="preserve">Інсталяційний пакет, який включає інсталятор програмного забезпечення, інструктивний матеріал та ключові дані до клієнтської частини комплексу клієнт отримує </w:t>
      </w:r>
      <w:r w:rsidR="00961AC2" w:rsidRPr="00580FA7">
        <w:rPr>
          <w:sz w:val="28"/>
          <w:szCs w:val="28"/>
          <w:lang w:val="uk-UA"/>
        </w:rPr>
        <w:t>у</w:t>
      </w:r>
      <w:r w:rsidRPr="00580FA7">
        <w:rPr>
          <w:sz w:val="28"/>
          <w:szCs w:val="28"/>
          <w:lang w:val="uk-UA"/>
        </w:rPr>
        <w:t xml:space="preserve"> </w:t>
      </w:r>
      <w:r w:rsidR="00961AC2" w:rsidRPr="00580FA7">
        <w:rPr>
          <w:sz w:val="28"/>
          <w:szCs w:val="28"/>
          <w:lang w:val="uk-UA"/>
        </w:rPr>
        <w:t>ВПР, якій розташованій в органі Казначейства зазначеному у</w:t>
      </w:r>
      <w:r w:rsidR="00961AC2" w:rsidRPr="00961AC2">
        <w:rPr>
          <w:sz w:val="28"/>
          <w:szCs w:val="28"/>
          <w:lang w:val="uk-UA"/>
        </w:rPr>
        <w:t xml:space="preserve"> пункті 4 Заяви про підключення. </w:t>
      </w:r>
    </w:p>
    <w:p w:rsidR="00961AC2" w:rsidRDefault="00961AC2" w:rsidP="001D52EF">
      <w:pPr>
        <w:spacing w:before="120"/>
        <w:ind w:firstLine="709"/>
        <w:jc w:val="both"/>
        <w:rPr>
          <w:sz w:val="28"/>
          <w:szCs w:val="28"/>
          <w:lang w:val="uk-UA"/>
        </w:rPr>
      </w:pPr>
      <w:r>
        <w:rPr>
          <w:sz w:val="28"/>
          <w:szCs w:val="28"/>
          <w:lang w:val="uk-UA"/>
        </w:rPr>
        <w:t>Ключові дані для Комплексу ви</w:t>
      </w:r>
      <w:r w:rsidR="006D3177">
        <w:rPr>
          <w:sz w:val="28"/>
          <w:szCs w:val="28"/>
          <w:lang w:val="uk-UA"/>
        </w:rPr>
        <w:t>готовляються протягом 4-5 робочи</w:t>
      </w:r>
      <w:r>
        <w:rPr>
          <w:sz w:val="28"/>
          <w:szCs w:val="28"/>
          <w:lang w:val="uk-UA"/>
        </w:rPr>
        <w:t>х днів після подання Заяви про підключення.</w:t>
      </w:r>
    </w:p>
    <w:p w:rsidR="00961AC2" w:rsidRDefault="00961AC2" w:rsidP="001D52EF">
      <w:pPr>
        <w:spacing w:before="120"/>
        <w:ind w:firstLine="709"/>
        <w:jc w:val="both"/>
        <w:rPr>
          <w:sz w:val="28"/>
          <w:szCs w:val="28"/>
          <w:lang w:val="uk-UA"/>
        </w:rPr>
      </w:pPr>
      <w:r w:rsidRPr="006705B3">
        <w:rPr>
          <w:sz w:val="28"/>
          <w:szCs w:val="28"/>
          <w:lang w:val="uk-UA"/>
        </w:rPr>
        <w:t xml:space="preserve">Інсталяційний пакет може бути отриманий одночасно із генерацією </w:t>
      </w:r>
      <w:r w:rsidR="006705B3" w:rsidRPr="006705B3">
        <w:rPr>
          <w:sz w:val="28"/>
          <w:szCs w:val="28"/>
          <w:lang w:val="uk-UA"/>
        </w:rPr>
        <w:t>КЕП</w:t>
      </w:r>
      <w:r w:rsidRPr="006705B3">
        <w:rPr>
          <w:sz w:val="28"/>
          <w:szCs w:val="28"/>
          <w:lang w:val="uk-UA"/>
        </w:rPr>
        <w:t>.</w:t>
      </w:r>
    </w:p>
    <w:p w:rsidR="00961AC2" w:rsidRDefault="00961AC2" w:rsidP="001D52EF">
      <w:pPr>
        <w:spacing w:before="120"/>
        <w:ind w:firstLine="709"/>
        <w:jc w:val="both"/>
        <w:rPr>
          <w:sz w:val="28"/>
          <w:szCs w:val="28"/>
          <w:lang w:val="uk-UA"/>
        </w:rPr>
      </w:pPr>
      <w:r>
        <w:rPr>
          <w:sz w:val="28"/>
          <w:szCs w:val="28"/>
          <w:lang w:val="uk-UA"/>
        </w:rPr>
        <w:t xml:space="preserve">За допомогою </w:t>
      </w:r>
      <w:r w:rsidR="006705B3">
        <w:rPr>
          <w:sz w:val="28"/>
          <w:szCs w:val="28"/>
          <w:lang w:val="uk-UA"/>
        </w:rPr>
        <w:t xml:space="preserve">інструктивних </w:t>
      </w:r>
      <w:r>
        <w:rPr>
          <w:sz w:val="28"/>
          <w:szCs w:val="28"/>
          <w:lang w:val="uk-UA"/>
        </w:rPr>
        <w:t>матеріалів, отриманих у складі інсталяційного пакету, здійснити встановлення та налаштування клієнтської частини програмного забезпеченн</w:t>
      </w:r>
      <w:r w:rsidR="006D3177">
        <w:rPr>
          <w:sz w:val="28"/>
          <w:szCs w:val="28"/>
          <w:lang w:val="uk-UA"/>
        </w:rPr>
        <w:t>я Комплексу на робочому місці користувача. Кількість робочих місць не обмежується.</w:t>
      </w:r>
      <w:r>
        <w:rPr>
          <w:sz w:val="28"/>
          <w:szCs w:val="28"/>
          <w:lang w:val="uk-UA"/>
        </w:rPr>
        <w:t xml:space="preserve"> </w:t>
      </w:r>
    </w:p>
    <w:p w:rsidR="00946361" w:rsidRPr="00745E35" w:rsidRDefault="00946361" w:rsidP="001D52EF">
      <w:pPr>
        <w:spacing w:before="120"/>
        <w:ind w:firstLine="709"/>
        <w:jc w:val="both"/>
        <w:rPr>
          <w:lang w:val="uk-UA"/>
        </w:rPr>
      </w:pPr>
    </w:p>
    <w:p w:rsidR="00A21D76" w:rsidRDefault="00B60311" w:rsidP="00A21D76">
      <w:pPr>
        <w:ind w:firstLine="709"/>
        <w:jc w:val="center"/>
        <w:rPr>
          <w:b/>
          <w:bCs/>
          <w:color w:val="000000"/>
          <w:spacing w:val="-4"/>
          <w:sz w:val="28"/>
          <w:szCs w:val="28"/>
          <w:lang w:val="uk-UA"/>
        </w:rPr>
      </w:pPr>
      <w:r>
        <w:rPr>
          <w:b/>
          <w:bCs/>
          <w:color w:val="000000"/>
          <w:spacing w:val="-4"/>
          <w:sz w:val="28"/>
          <w:szCs w:val="28"/>
          <w:lang w:val="uk-UA"/>
        </w:rPr>
        <w:t>5</w:t>
      </w:r>
      <w:r w:rsidR="00260F4B" w:rsidRPr="009A46A8">
        <w:rPr>
          <w:b/>
          <w:bCs/>
          <w:color w:val="000000"/>
          <w:spacing w:val="-4"/>
          <w:sz w:val="28"/>
          <w:szCs w:val="28"/>
          <w:lang w:val="uk-UA"/>
        </w:rPr>
        <w:t xml:space="preserve">. Оформлення та передача заявок </w:t>
      </w:r>
      <w:r w:rsidR="007F2CE1">
        <w:rPr>
          <w:b/>
          <w:bCs/>
          <w:color w:val="000000"/>
          <w:spacing w:val="-4"/>
          <w:sz w:val="28"/>
          <w:szCs w:val="28"/>
          <w:lang w:val="uk-UA"/>
        </w:rPr>
        <w:t>про надання</w:t>
      </w:r>
      <w:r w:rsidR="00260F4B" w:rsidRPr="009A46A8">
        <w:rPr>
          <w:b/>
          <w:bCs/>
          <w:color w:val="000000"/>
          <w:spacing w:val="-4"/>
          <w:sz w:val="28"/>
          <w:szCs w:val="28"/>
          <w:lang w:val="uk-UA"/>
        </w:rPr>
        <w:t xml:space="preserve"> </w:t>
      </w:r>
    </w:p>
    <w:p w:rsidR="00260F4B" w:rsidRDefault="00745E35" w:rsidP="00A21D76">
      <w:pPr>
        <w:ind w:firstLine="709"/>
        <w:jc w:val="center"/>
        <w:rPr>
          <w:b/>
          <w:bCs/>
          <w:color w:val="000000"/>
          <w:spacing w:val="-4"/>
          <w:sz w:val="28"/>
          <w:szCs w:val="28"/>
          <w:lang w:val="uk-UA"/>
        </w:rPr>
      </w:pPr>
      <w:r>
        <w:rPr>
          <w:b/>
          <w:bCs/>
          <w:noProof/>
          <w:color w:val="000000"/>
          <w:spacing w:val="-4"/>
          <w:sz w:val="28"/>
          <w:szCs w:val="28"/>
          <w:lang w:val="uk-UA" w:eastAsia="uk-UA"/>
        </w:rPr>
        <w:drawing>
          <wp:anchor distT="0" distB="0" distL="114300" distR="114300" simplePos="0" relativeHeight="251658240" behindDoc="0" locked="0" layoutInCell="1" allowOverlap="1">
            <wp:simplePos x="0" y="0"/>
            <wp:positionH relativeFrom="column">
              <wp:posOffset>2852420</wp:posOffset>
            </wp:positionH>
            <wp:positionV relativeFrom="paragraph">
              <wp:posOffset>406400</wp:posOffset>
            </wp:positionV>
            <wp:extent cx="1002665" cy="1079500"/>
            <wp:effectExtent l="19050" t="0" r="6985" b="0"/>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002665" cy="1079500"/>
                    </a:xfrm>
                    <a:prstGeom prst="rect">
                      <a:avLst/>
                    </a:prstGeom>
                    <a:noFill/>
                    <a:ln w="9525">
                      <a:noFill/>
                      <a:miter lim="800000"/>
                      <a:headEnd/>
                      <a:tailEnd/>
                    </a:ln>
                  </pic:spPr>
                </pic:pic>
              </a:graphicData>
            </a:graphic>
          </wp:anchor>
        </w:drawing>
      </w:r>
      <w:r w:rsidR="00562484">
        <w:rPr>
          <w:b/>
          <w:bCs/>
          <w:color w:val="000000"/>
          <w:spacing w:val="-4"/>
          <w:sz w:val="28"/>
          <w:szCs w:val="28"/>
          <w:lang w:val="uk-UA"/>
        </w:rPr>
        <w:t xml:space="preserve">персонального </w:t>
      </w:r>
      <w:r w:rsidR="00260F4B" w:rsidRPr="009A46A8">
        <w:rPr>
          <w:b/>
          <w:bCs/>
          <w:color w:val="000000"/>
          <w:spacing w:val="-4"/>
          <w:sz w:val="28"/>
          <w:szCs w:val="28"/>
          <w:lang w:val="uk-UA"/>
        </w:rPr>
        <w:t>доступ</w:t>
      </w:r>
      <w:r w:rsidR="00946361">
        <w:rPr>
          <w:b/>
          <w:bCs/>
          <w:color w:val="000000"/>
          <w:spacing w:val="-4"/>
          <w:sz w:val="28"/>
          <w:szCs w:val="28"/>
          <w:lang w:val="uk-UA"/>
        </w:rPr>
        <w:t>у</w:t>
      </w:r>
      <w:r w:rsidR="00260F4B" w:rsidRPr="009A46A8">
        <w:rPr>
          <w:b/>
          <w:bCs/>
          <w:color w:val="000000"/>
          <w:spacing w:val="-4"/>
          <w:sz w:val="28"/>
          <w:szCs w:val="28"/>
          <w:lang w:val="uk-UA"/>
        </w:rPr>
        <w:t xml:space="preserve"> до СДО</w:t>
      </w:r>
    </w:p>
    <w:p w:rsidR="00220648" w:rsidRPr="00745E35" w:rsidRDefault="009A46A8" w:rsidP="00745E35">
      <w:pPr>
        <w:ind w:firstLine="709"/>
        <w:jc w:val="both"/>
        <w:rPr>
          <w:bCs/>
          <w:i/>
          <w:sz w:val="28"/>
          <w:szCs w:val="28"/>
        </w:rPr>
      </w:pPr>
      <w:r w:rsidRPr="00745E35">
        <w:rPr>
          <w:sz w:val="28"/>
          <w:szCs w:val="28"/>
        </w:rPr>
        <w:t xml:space="preserve">Заявка про </w:t>
      </w:r>
      <w:proofErr w:type="spellStart"/>
      <w:r w:rsidRPr="00745E35">
        <w:rPr>
          <w:sz w:val="28"/>
          <w:szCs w:val="28"/>
        </w:rPr>
        <w:t>надання</w:t>
      </w:r>
      <w:proofErr w:type="spellEnd"/>
      <w:r w:rsidRPr="00745E35">
        <w:rPr>
          <w:sz w:val="28"/>
          <w:szCs w:val="28"/>
        </w:rPr>
        <w:t xml:space="preserve"> доступу до СДО (далі –</w:t>
      </w:r>
      <w:r w:rsidR="006705B3" w:rsidRPr="00745E35">
        <w:rPr>
          <w:sz w:val="28"/>
          <w:szCs w:val="28"/>
        </w:rPr>
        <w:t xml:space="preserve"> </w:t>
      </w:r>
      <w:r w:rsidRPr="00745E35">
        <w:rPr>
          <w:sz w:val="28"/>
          <w:szCs w:val="28"/>
        </w:rPr>
        <w:t xml:space="preserve">Заявка) </w:t>
      </w:r>
      <w:r w:rsidR="00562484" w:rsidRPr="00745E35">
        <w:rPr>
          <w:sz w:val="28"/>
          <w:szCs w:val="28"/>
        </w:rPr>
        <w:t>оформлюється на кожного користувача (посадову особу), який від іме</w:t>
      </w:r>
      <w:r w:rsidR="00220648" w:rsidRPr="00745E35">
        <w:rPr>
          <w:sz w:val="28"/>
          <w:szCs w:val="28"/>
        </w:rPr>
        <w:t xml:space="preserve">ні клієнта буде працювати в СДО. Подається одноразово при початковій реєстрації користувача в СДО, оновлюється у випадку зміни даних, наведених у Заявці. Форма Заявки </w:t>
      </w:r>
      <w:proofErr w:type="spellStart"/>
      <w:r w:rsidR="00220648" w:rsidRPr="00745E35">
        <w:rPr>
          <w:sz w:val="28"/>
          <w:szCs w:val="28"/>
        </w:rPr>
        <w:t>розміщена</w:t>
      </w:r>
      <w:proofErr w:type="spellEnd"/>
      <w:r w:rsidR="00220648" w:rsidRPr="00745E35">
        <w:rPr>
          <w:sz w:val="28"/>
          <w:szCs w:val="28"/>
        </w:rPr>
        <w:t xml:space="preserve"> на </w:t>
      </w:r>
      <w:proofErr w:type="spellStart"/>
      <w:r w:rsidR="00220648" w:rsidRPr="00745E35">
        <w:rPr>
          <w:sz w:val="28"/>
          <w:szCs w:val="28"/>
        </w:rPr>
        <w:t>вебпорталі</w:t>
      </w:r>
      <w:proofErr w:type="spellEnd"/>
      <w:r w:rsidR="00220648" w:rsidRPr="00745E35">
        <w:rPr>
          <w:sz w:val="28"/>
          <w:szCs w:val="28"/>
        </w:rPr>
        <w:t xml:space="preserve"> Казначейства в </w:t>
      </w:r>
      <w:proofErr w:type="spellStart"/>
      <w:r w:rsidR="00220648" w:rsidRPr="00745E35">
        <w:rPr>
          <w:sz w:val="28"/>
          <w:szCs w:val="28"/>
        </w:rPr>
        <w:t>розділі</w:t>
      </w:r>
      <w:proofErr w:type="spellEnd"/>
      <w:r w:rsidR="00220648" w:rsidRPr="00745E35">
        <w:rPr>
          <w:sz w:val="28"/>
          <w:szCs w:val="28"/>
        </w:rPr>
        <w:t xml:space="preserve"> </w:t>
      </w:r>
      <w:proofErr w:type="spellStart"/>
      <w:r w:rsidR="00220648" w:rsidRPr="00745E35">
        <w:rPr>
          <w:bCs/>
          <w:i/>
          <w:sz w:val="28"/>
          <w:szCs w:val="28"/>
        </w:rPr>
        <w:t>Електронні</w:t>
      </w:r>
      <w:proofErr w:type="spellEnd"/>
      <w:r w:rsidR="00220648" w:rsidRPr="00745E35">
        <w:rPr>
          <w:bCs/>
          <w:i/>
          <w:sz w:val="28"/>
          <w:szCs w:val="28"/>
        </w:rPr>
        <w:t xml:space="preserve"> </w:t>
      </w:r>
      <w:proofErr w:type="spellStart"/>
      <w:r w:rsidR="00220648" w:rsidRPr="00745E35">
        <w:rPr>
          <w:bCs/>
          <w:i/>
          <w:sz w:val="28"/>
          <w:szCs w:val="28"/>
        </w:rPr>
        <w:t>сервіси</w:t>
      </w:r>
      <w:proofErr w:type="spellEnd"/>
      <w:r w:rsidR="00220648" w:rsidRPr="00745E35">
        <w:rPr>
          <w:bCs/>
          <w:i/>
          <w:sz w:val="28"/>
          <w:szCs w:val="28"/>
        </w:rPr>
        <w:t xml:space="preserve"> &gt; Система дистанційного обслуговування «Клієнт казначейства – Казначейство» &gt; Зразки документів. </w:t>
      </w:r>
    </w:p>
    <w:p w:rsidR="001D52EF" w:rsidRDefault="00264BC5" w:rsidP="001D52EF">
      <w:pPr>
        <w:spacing w:before="120"/>
        <w:ind w:firstLine="709"/>
        <w:jc w:val="both"/>
        <w:rPr>
          <w:sz w:val="28"/>
          <w:szCs w:val="28"/>
          <w:lang w:val="uk-UA"/>
        </w:rPr>
      </w:pPr>
      <w:r w:rsidRPr="009A46A8">
        <w:rPr>
          <w:sz w:val="28"/>
          <w:szCs w:val="28"/>
          <w:lang w:val="uk-UA"/>
        </w:rPr>
        <w:t xml:space="preserve">В </w:t>
      </w:r>
      <w:r w:rsidR="00946361">
        <w:rPr>
          <w:sz w:val="28"/>
          <w:szCs w:val="28"/>
          <w:lang w:val="uk-UA"/>
        </w:rPr>
        <w:t>пункті</w:t>
      </w:r>
      <w:r w:rsidRPr="009A46A8">
        <w:rPr>
          <w:sz w:val="28"/>
          <w:szCs w:val="28"/>
          <w:lang w:val="uk-UA"/>
        </w:rPr>
        <w:t xml:space="preserve"> «Серійний номер </w:t>
      </w:r>
      <w:r>
        <w:rPr>
          <w:sz w:val="28"/>
          <w:szCs w:val="28"/>
          <w:lang w:val="uk-UA"/>
        </w:rPr>
        <w:t xml:space="preserve">кваліфікованого сертифіката </w:t>
      </w:r>
      <w:r w:rsidRPr="009A46A8">
        <w:rPr>
          <w:sz w:val="28"/>
          <w:szCs w:val="28"/>
          <w:lang w:val="uk-UA"/>
        </w:rPr>
        <w:t xml:space="preserve">електронного </w:t>
      </w:r>
      <w:r>
        <w:rPr>
          <w:sz w:val="28"/>
          <w:szCs w:val="28"/>
          <w:lang w:val="uk-UA"/>
        </w:rPr>
        <w:t>ключа</w:t>
      </w:r>
      <w:r w:rsidRPr="009A46A8">
        <w:rPr>
          <w:sz w:val="28"/>
          <w:szCs w:val="28"/>
          <w:lang w:val="uk-UA"/>
        </w:rPr>
        <w:t>» необхідно заповнити серійний номер сертифікату</w:t>
      </w:r>
      <w:r w:rsidR="00946361">
        <w:rPr>
          <w:sz w:val="28"/>
          <w:szCs w:val="28"/>
          <w:lang w:val="uk-UA"/>
        </w:rPr>
        <w:t xml:space="preserve"> КЕП</w:t>
      </w:r>
      <w:r w:rsidRPr="009A46A8">
        <w:rPr>
          <w:sz w:val="28"/>
          <w:szCs w:val="28"/>
          <w:lang w:val="uk-UA"/>
        </w:rPr>
        <w:t xml:space="preserve">, </w:t>
      </w:r>
      <w:r w:rsidR="002B0EF1">
        <w:rPr>
          <w:sz w:val="28"/>
          <w:szCs w:val="28"/>
          <w:lang w:val="uk-UA"/>
        </w:rPr>
        <w:t>що належить користувачу</w:t>
      </w:r>
      <w:r w:rsidRPr="009A46A8">
        <w:rPr>
          <w:sz w:val="28"/>
          <w:szCs w:val="28"/>
          <w:lang w:val="uk-UA"/>
        </w:rPr>
        <w:t>.</w:t>
      </w:r>
      <w:r w:rsidR="001D52EF">
        <w:rPr>
          <w:sz w:val="28"/>
          <w:szCs w:val="28"/>
          <w:lang w:val="uk-UA"/>
        </w:rPr>
        <w:t xml:space="preserve"> Серійний номер сертифікату можна узнати на </w:t>
      </w:r>
      <w:proofErr w:type="spellStart"/>
      <w:r w:rsidR="00220648" w:rsidRPr="00220648">
        <w:rPr>
          <w:sz w:val="28"/>
          <w:szCs w:val="28"/>
          <w:lang w:val="uk-UA"/>
        </w:rPr>
        <w:t>вебпорталі</w:t>
      </w:r>
      <w:proofErr w:type="spellEnd"/>
      <w:r w:rsidR="00220648" w:rsidRPr="00220648">
        <w:rPr>
          <w:sz w:val="28"/>
          <w:szCs w:val="28"/>
          <w:lang w:val="uk-UA"/>
        </w:rPr>
        <w:t xml:space="preserve"> </w:t>
      </w:r>
      <w:r w:rsidR="00220648" w:rsidRPr="00220648">
        <w:rPr>
          <w:sz w:val="28"/>
          <w:szCs w:val="28"/>
          <w:lang w:val="uk-UA"/>
        </w:rPr>
        <w:lastRenderedPageBreak/>
        <w:t>Казначейства в розділі</w:t>
      </w:r>
      <w:r w:rsidR="00220648" w:rsidRPr="009A46A8">
        <w:rPr>
          <w:szCs w:val="28"/>
        </w:rPr>
        <w:t xml:space="preserve"> </w:t>
      </w:r>
      <w:r w:rsidR="00220648">
        <w:rPr>
          <w:szCs w:val="28"/>
          <w:lang w:val="uk-UA"/>
        </w:rPr>
        <w:t xml:space="preserve"> </w:t>
      </w:r>
      <w:r w:rsidR="00220648" w:rsidRPr="00C222DD">
        <w:rPr>
          <w:i/>
          <w:sz w:val="28"/>
          <w:szCs w:val="28"/>
          <w:lang w:val="uk-UA"/>
        </w:rPr>
        <w:t>Електронні сервіси &gt;Кваліфіковані електронні довірчі послуги &gt;</w:t>
      </w:r>
      <w:r w:rsidR="001D52EF">
        <w:rPr>
          <w:sz w:val="28"/>
          <w:szCs w:val="28"/>
          <w:lang w:val="uk-UA"/>
        </w:rPr>
        <w:t xml:space="preserve"> </w:t>
      </w:r>
      <w:r w:rsidR="001D52EF" w:rsidRPr="001D52EF">
        <w:rPr>
          <w:i/>
          <w:sz w:val="28"/>
          <w:szCs w:val="28"/>
          <w:lang w:val="uk-UA"/>
        </w:rPr>
        <w:t>Пошук сертифіката</w:t>
      </w:r>
      <w:r w:rsidR="001D52EF">
        <w:rPr>
          <w:i/>
          <w:sz w:val="28"/>
          <w:szCs w:val="28"/>
          <w:lang w:val="uk-UA"/>
        </w:rPr>
        <w:t>.</w:t>
      </w:r>
    </w:p>
    <w:p w:rsidR="00264BC5" w:rsidRPr="003F7888" w:rsidRDefault="00264BC5" w:rsidP="001D52EF">
      <w:pPr>
        <w:spacing w:before="120"/>
        <w:ind w:firstLine="709"/>
        <w:jc w:val="both"/>
        <w:rPr>
          <w:strike/>
          <w:sz w:val="28"/>
          <w:szCs w:val="28"/>
          <w:lang w:val="uk-UA"/>
        </w:rPr>
      </w:pPr>
      <w:r w:rsidRPr="009A46A8">
        <w:rPr>
          <w:sz w:val="28"/>
          <w:szCs w:val="28"/>
          <w:lang w:val="uk-UA"/>
        </w:rPr>
        <w:t xml:space="preserve"> </w:t>
      </w:r>
      <w:r w:rsidRPr="00946361">
        <w:rPr>
          <w:sz w:val="28"/>
          <w:szCs w:val="28"/>
          <w:lang w:val="uk-UA"/>
        </w:rPr>
        <w:t xml:space="preserve">В </w:t>
      </w:r>
      <w:r w:rsidR="00946361">
        <w:rPr>
          <w:sz w:val="28"/>
          <w:szCs w:val="28"/>
          <w:lang w:val="uk-UA"/>
        </w:rPr>
        <w:t>пункті</w:t>
      </w:r>
      <w:r w:rsidRPr="00946361">
        <w:rPr>
          <w:sz w:val="28"/>
          <w:szCs w:val="28"/>
          <w:lang w:val="uk-UA"/>
        </w:rPr>
        <w:t xml:space="preserve"> «Тип користувача» вказати один з типів користувача </w:t>
      </w:r>
      <w:r w:rsidR="003F7888" w:rsidRPr="00946361">
        <w:rPr>
          <w:sz w:val="28"/>
          <w:szCs w:val="28"/>
          <w:lang w:val="uk-UA"/>
        </w:rPr>
        <w:t>в залежності від функцій та повноважень особи, на яку подається Заявка.</w:t>
      </w:r>
    </w:p>
    <w:p w:rsidR="00264BC5" w:rsidRPr="001D52EF" w:rsidRDefault="00264BC5" w:rsidP="001D52EF">
      <w:pPr>
        <w:spacing w:before="120"/>
        <w:ind w:firstLine="709"/>
        <w:jc w:val="both"/>
        <w:rPr>
          <w:sz w:val="28"/>
          <w:szCs w:val="28"/>
          <w:lang w:val="uk-UA"/>
        </w:rPr>
      </w:pPr>
      <w:r w:rsidRPr="001D52EF">
        <w:rPr>
          <w:sz w:val="28"/>
          <w:szCs w:val="28"/>
          <w:lang w:val="uk-UA"/>
        </w:rPr>
        <w:t>Передбачені типи користувачів із наступними правами:</w:t>
      </w:r>
    </w:p>
    <w:p w:rsidR="00264BC5" w:rsidRPr="00264BC5" w:rsidRDefault="00264BC5" w:rsidP="001D52EF">
      <w:pPr>
        <w:spacing w:before="120"/>
        <w:ind w:firstLine="709"/>
        <w:jc w:val="both"/>
        <w:rPr>
          <w:sz w:val="28"/>
          <w:szCs w:val="28"/>
        </w:rPr>
      </w:pPr>
      <w:r w:rsidRPr="001D52EF">
        <w:rPr>
          <w:sz w:val="28"/>
          <w:szCs w:val="28"/>
          <w:lang w:val="uk-UA"/>
        </w:rPr>
        <w:t xml:space="preserve"> </w:t>
      </w:r>
      <w:r w:rsidRPr="001D52EF">
        <w:rPr>
          <w:b/>
          <w:sz w:val="28"/>
          <w:szCs w:val="28"/>
          <w:lang w:val="uk-UA"/>
        </w:rPr>
        <w:t>«Користувач клієнта»</w:t>
      </w:r>
      <w:r w:rsidRPr="001D52EF">
        <w:rPr>
          <w:sz w:val="28"/>
          <w:szCs w:val="28"/>
          <w:lang w:val="uk-UA"/>
        </w:rPr>
        <w:t xml:space="preserve"> – має право перегляду повної або часткової</w:t>
      </w:r>
      <w:r w:rsidRPr="00264BC5">
        <w:rPr>
          <w:sz w:val="28"/>
          <w:szCs w:val="28"/>
        </w:rPr>
        <w:t xml:space="preserve"> інформації про документи та рахунки клієнта, а також право створення, перегляду документів без права їх візування; </w:t>
      </w:r>
    </w:p>
    <w:p w:rsidR="00264BC5" w:rsidRPr="00264BC5" w:rsidRDefault="00264BC5" w:rsidP="001D52EF">
      <w:pPr>
        <w:pStyle w:val="a5"/>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1D52EF">
        <w:rPr>
          <w:rFonts w:ascii="Times New Roman" w:eastAsia="Times New Roman" w:hAnsi="Times New Roman" w:cs="Times New Roman"/>
          <w:b/>
          <w:sz w:val="28"/>
          <w:szCs w:val="28"/>
          <w:lang w:eastAsia="ru-RU"/>
        </w:rPr>
        <w:t xml:space="preserve"> «Операціоніст»</w:t>
      </w:r>
      <w:r w:rsidRPr="00264BC5">
        <w:rPr>
          <w:rFonts w:ascii="Times New Roman" w:eastAsia="Times New Roman" w:hAnsi="Times New Roman" w:cs="Times New Roman"/>
          <w:sz w:val="28"/>
          <w:szCs w:val="28"/>
          <w:lang w:eastAsia="ru-RU"/>
        </w:rPr>
        <w:t xml:space="preserve"> – має право перегляду повної або часткової інформації про документи та рахунки клієнта, а також право створення, перегляду документів та право їх візування візою, яка відповідає підпису «Виконавець»;</w:t>
      </w:r>
    </w:p>
    <w:p w:rsidR="00264BC5" w:rsidRPr="00FD320D" w:rsidRDefault="00264BC5" w:rsidP="00FD320D">
      <w:pPr>
        <w:spacing w:before="120"/>
        <w:ind w:firstLine="709"/>
        <w:jc w:val="both"/>
        <w:rPr>
          <w:sz w:val="28"/>
          <w:szCs w:val="28"/>
          <w:lang w:val="uk-UA"/>
        </w:rPr>
      </w:pPr>
      <w:r w:rsidRPr="00FD320D">
        <w:rPr>
          <w:b/>
          <w:sz w:val="28"/>
          <w:szCs w:val="28"/>
          <w:lang w:val="uk-UA"/>
        </w:rPr>
        <w:t xml:space="preserve">«Бухгалтер» – </w:t>
      </w:r>
      <w:r w:rsidRPr="00FD320D">
        <w:rPr>
          <w:sz w:val="28"/>
          <w:szCs w:val="28"/>
          <w:lang w:val="uk-UA"/>
        </w:rPr>
        <w:t>має право перегляду повної інформації про документи та рахунки клієнта, а також право створення документів та право їх візування візою, яка відповідає підпису «Головний бухгалтер/керівник фінансової служби»</w:t>
      </w:r>
      <w:r w:rsidR="00FD320D" w:rsidRPr="00FD320D">
        <w:rPr>
          <w:sz w:val="28"/>
          <w:szCs w:val="28"/>
          <w:lang w:val="uk-UA"/>
        </w:rPr>
        <w:t xml:space="preserve">. </w:t>
      </w:r>
      <w:r w:rsidR="00FD320D" w:rsidRPr="00FD320D">
        <w:rPr>
          <w:sz w:val="28"/>
          <w:szCs w:val="28"/>
          <w:lang w:val="uk-UA"/>
        </w:rPr>
        <w:t>Виключно для осіб, які згідно із карткою із зразками підписів та відбитка печа</w:t>
      </w:r>
      <w:r w:rsidR="00FD320D" w:rsidRPr="00FD320D">
        <w:rPr>
          <w:sz w:val="28"/>
          <w:szCs w:val="28"/>
          <w:lang w:val="uk-UA"/>
        </w:rPr>
        <w:t>тки мають право другого підпису</w:t>
      </w:r>
      <w:r w:rsidRPr="00FD320D">
        <w:rPr>
          <w:sz w:val="28"/>
          <w:szCs w:val="28"/>
          <w:lang w:val="uk-UA"/>
        </w:rPr>
        <w:t>;</w:t>
      </w:r>
      <w:bookmarkStart w:id="0" w:name="_GoBack"/>
      <w:bookmarkEnd w:id="0"/>
    </w:p>
    <w:p w:rsidR="00264BC5" w:rsidRPr="00264BC5" w:rsidRDefault="00264BC5" w:rsidP="001D52EF">
      <w:pPr>
        <w:pStyle w:val="a5"/>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1D52EF">
        <w:rPr>
          <w:rFonts w:ascii="Times New Roman" w:eastAsia="Times New Roman" w:hAnsi="Times New Roman" w:cs="Times New Roman"/>
          <w:b/>
          <w:sz w:val="28"/>
          <w:szCs w:val="28"/>
          <w:lang w:eastAsia="ru-RU"/>
        </w:rPr>
        <w:t>«Керівник»</w:t>
      </w:r>
      <w:r w:rsidRPr="00264BC5">
        <w:rPr>
          <w:rFonts w:ascii="Times New Roman" w:eastAsia="Times New Roman" w:hAnsi="Times New Roman" w:cs="Times New Roman"/>
          <w:sz w:val="28"/>
          <w:szCs w:val="28"/>
          <w:lang w:eastAsia="ru-RU"/>
        </w:rPr>
        <w:t xml:space="preserve"> – має право повного перегляду інформації, створення документів та право їх візування візою, яка відповідає підпису «Керівник». Виключно для осіб, які згідно із карткою із зразками підписів та відбитка печатки мають право першого підпису;</w:t>
      </w:r>
    </w:p>
    <w:p w:rsidR="00264BC5" w:rsidRPr="00264BC5" w:rsidRDefault="00264BC5" w:rsidP="001D52EF">
      <w:pPr>
        <w:pStyle w:val="a5"/>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1D52EF">
        <w:rPr>
          <w:rFonts w:ascii="Times New Roman" w:eastAsia="Times New Roman" w:hAnsi="Times New Roman" w:cs="Times New Roman"/>
          <w:b/>
          <w:sz w:val="28"/>
          <w:szCs w:val="28"/>
          <w:lang w:eastAsia="ru-RU"/>
        </w:rPr>
        <w:t>«Уповноважена особа»</w:t>
      </w:r>
      <w:r w:rsidRPr="00264BC5">
        <w:rPr>
          <w:rFonts w:ascii="Times New Roman" w:eastAsia="Times New Roman" w:hAnsi="Times New Roman" w:cs="Times New Roman"/>
          <w:sz w:val="28"/>
          <w:szCs w:val="28"/>
          <w:lang w:eastAsia="ru-RU"/>
        </w:rPr>
        <w:t xml:space="preserve"> – має право повного перегляду інформації, створення документів та право їх візування візою, яка відповідає підпису «Керівник» за виключенням права візування платіжних доручень. Для осіб, яким згідно з розпорядчими документами керівником установи делеговано право підписання окремих документів, але в яких відсутнє право накладання першого підпису відповідно до картки зразків підпису та відбитка печатки; </w:t>
      </w:r>
    </w:p>
    <w:p w:rsidR="00264BC5" w:rsidRDefault="00264BC5" w:rsidP="001D52EF">
      <w:pPr>
        <w:pStyle w:val="a5"/>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1D52EF">
        <w:rPr>
          <w:rFonts w:ascii="Times New Roman" w:eastAsia="Times New Roman" w:hAnsi="Times New Roman" w:cs="Times New Roman"/>
          <w:b/>
          <w:sz w:val="28"/>
          <w:szCs w:val="28"/>
          <w:lang w:eastAsia="ru-RU"/>
        </w:rPr>
        <w:t>«Печатка»</w:t>
      </w:r>
      <w:r w:rsidRPr="00264BC5">
        <w:rPr>
          <w:rFonts w:ascii="Times New Roman" w:eastAsia="Times New Roman" w:hAnsi="Times New Roman" w:cs="Times New Roman"/>
          <w:sz w:val="28"/>
          <w:szCs w:val="28"/>
          <w:lang w:eastAsia="ru-RU"/>
        </w:rPr>
        <w:t xml:space="preserve"> – має право перегляду повної інформації про документи та рахунки клієнта, а також право створення документів та право їх візування візою, яка відповідає «Печатка установи».</w:t>
      </w:r>
    </w:p>
    <w:p w:rsidR="001E6A2C" w:rsidRPr="00A21D76" w:rsidRDefault="001E6A2C" w:rsidP="001D52EF">
      <w:pPr>
        <w:pStyle w:val="a5"/>
        <w:spacing w:before="120" w:after="0" w:line="240" w:lineRule="auto"/>
        <w:ind w:left="0" w:firstLine="709"/>
        <w:contextualSpacing w:val="0"/>
        <w:jc w:val="both"/>
        <w:rPr>
          <w:rFonts w:ascii="Times New Roman" w:eastAsia="Times New Roman" w:hAnsi="Times New Roman" w:cs="Times New Roman"/>
          <w:sz w:val="28"/>
          <w:szCs w:val="28"/>
          <w:lang w:eastAsia="ru-RU"/>
        </w:rPr>
      </w:pPr>
      <w:r w:rsidRPr="00A21D76">
        <w:rPr>
          <w:rFonts w:ascii="Times New Roman" w:eastAsia="Times New Roman" w:hAnsi="Times New Roman" w:cs="Times New Roman"/>
          <w:sz w:val="28"/>
          <w:szCs w:val="28"/>
          <w:lang w:eastAsia="ru-RU"/>
        </w:rPr>
        <w:t>У заявці зазначаються права користувача щодо перегляду інформації за рахунками, які відкриті на ім’я клієнта та підключені в СДО: усі рахунки або окремі рахунки. У випадку необхідності обмежити права користувача доступом лише до окремих рахунків, номери таких рахунків зазначаються у Заявці.</w:t>
      </w:r>
    </w:p>
    <w:p w:rsidR="00946361" w:rsidRDefault="00946361" w:rsidP="00260F4B">
      <w:pPr>
        <w:ind w:firstLine="709"/>
        <w:jc w:val="center"/>
        <w:rPr>
          <w:b/>
          <w:color w:val="00B050"/>
          <w:sz w:val="32"/>
          <w:szCs w:val="32"/>
          <w:lang w:val="uk-UA"/>
        </w:rPr>
      </w:pPr>
    </w:p>
    <w:p w:rsidR="00A21D76" w:rsidRDefault="00B60311" w:rsidP="00A21D76">
      <w:pPr>
        <w:ind w:firstLine="709"/>
        <w:jc w:val="center"/>
        <w:rPr>
          <w:b/>
          <w:bCs/>
          <w:color w:val="000000"/>
          <w:spacing w:val="-4"/>
          <w:sz w:val="28"/>
          <w:szCs w:val="28"/>
          <w:lang w:val="uk-UA"/>
        </w:rPr>
      </w:pPr>
      <w:r>
        <w:rPr>
          <w:b/>
          <w:bCs/>
          <w:color w:val="000000"/>
          <w:spacing w:val="-4"/>
          <w:sz w:val="28"/>
          <w:szCs w:val="28"/>
          <w:lang w:val="uk-UA"/>
        </w:rPr>
        <w:t>6</w:t>
      </w:r>
      <w:r w:rsidR="00260F4B" w:rsidRPr="009A46A8">
        <w:rPr>
          <w:b/>
          <w:bCs/>
          <w:color w:val="000000"/>
          <w:spacing w:val="-4"/>
          <w:sz w:val="28"/>
          <w:szCs w:val="28"/>
          <w:lang w:val="uk-UA"/>
        </w:rPr>
        <w:t>. Отримання повідомлення про надання доступу</w:t>
      </w:r>
    </w:p>
    <w:p w:rsidR="00260F4B" w:rsidRDefault="00A21D76" w:rsidP="00A21D76">
      <w:pPr>
        <w:ind w:firstLine="709"/>
        <w:jc w:val="center"/>
        <w:rPr>
          <w:b/>
          <w:bCs/>
          <w:color w:val="000000"/>
          <w:spacing w:val="-4"/>
          <w:sz w:val="28"/>
          <w:szCs w:val="28"/>
          <w:lang w:val="uk-UA"/>
        </w:rPr>
      </w:pPr>
      <w:r>
        <w:rPr>
          <w:b/>
          <w:bCs/>
          <w:color w:val="000000"/>
          <w:spacing w:val="-4"/>
          <w:sz w:val="28"/>
          <w:szCs w:val="28"/>
          <w:lang w:val="uk-UA"/>
        </w:rPr>
        <w:t>та початок роботи  в СДО</w:t>
      </w:r>
    </w:p>
    <w:p w:rsidR="00AC5A44" w:rsidRPr="009A46A8" w:rsidRDefault="00AC5A44" w:rsidP="00260F4B">
      <w:pPr>
        <w:ind w:firstLine="709"/>
        <w:jc w:val="both"/>
        <w:rPr>
          <w:b/>
          <w:bCs/>
          <w:color w:val="000000"/>
          <w:spacing w:val="-4"/>
          <w:sz w:val="28"/>
          <w:szCs w:val="28"/>
          <w:lang w:val="uk-UA"/>
        </w:rPr>
      </w:pPr>
    </w:p>
    <w:p w:rsidR="00260F4B" w:rsidRPr="009A46A8" w:rsidRDefault="009A46A8" w:rsidP="009A46A8">
      <w:pPr>
        <w:ind w:firstLine="709"/>
        <w:jc w:val="center"/>
        <w:rPr>
          <w:b/>
          <w:bCs/>
          <w:color w:val="000000"/>
          <w:spacing w:val="-4"/>
          <w:sz w:val="28"/>
          <w:szCs w:val="28"/>
          <w:lang w:val="uk-UA"/>
        </w:rPr>
      </w:pPr>
      <w:r w:rsidRPr="009A46A8">
        <w:rPr>
          <w:b/>
          <w:color w:val="00B050"/>
          <w:sz w:val="32"/>
          <w:szCs w:val="32"/>
          <w:lang w:val="uk-UA"/>
        </w:rPr>
        <w:object w:dxaOrig="2535" w:dyaOrig="2835">
          <v:shape id="_x0000_i1027" type="#_x0000_t75" style="width:95.45pt;height:82.9pt" o:ole="">
            <v:imagedata r:id="rId12" o:title=""/>
          </v:shape>
          <o:OLEObject Type="Embed" ProgID="PBrush" ShapeID="_x0000_i1027" DrawAspect="Content" ObjectID="_1711369092" r:id="rId13"/>
        </w:object>
      </w:r>
    </w:p>
    <w:p w:rsidR="00F93BD4" w:rsidRDefault="00F93BD4" w:rsidP="00F93BD4">
      <w:pPr>
        <w:ind w:firstLine="708"/>
        <w:jc w:val="both"/>
        <w:rPr>
          <w:sz w:val="28"/>
          <w:szCs w:val="28"/>
          <w:lang w:val="uk-UA"/>
        </w:rPr>
      </w:pPr>
      <w:r>
        <w:rPr>
          <w:sz w:val="28"/>
          <w:szCs w:val="28"/>
          <w:lang w:val="uk-UA"/>
        </w:rPr>
        <w:t>Від органу К</w:t>
      </w:r>
      <w:r w:rsidRPr="00273114">
        <w:rPr>
          <w:sz w:val="28"/>
          <w:szCs w:val="28"/>
          <w:lang w:val="uk-UA"/>
        </w:rPr>
        <w:t>азначейства</w:t>
      </w:r>
      <w:r>
        <w:rPr>
          <w:sz w:val="28"/>
          <w:szCs w:val="28"/>
          <w:lang w:val="uk-UA"/>
        </w:rPr>
        <w:t>,</w:t>
      </w:r>
      <w:r w:rsidRPr="0003760D">
        <w:rPr>
          <w:b/>
          <w:sz w:val="28"/>
          <w:szCs w:val="28"/>
          <w:lang w:val="uk-UA"/>
        </w:rPr>
        <w:t xml:space="preserve"> </w:t>
      </w:r>
      <w:r w:rsidRPr="006B3000">
        <w:rPr>
          <w:b/>
          <w:sz w:val="28"/>
          <w:szCs w:val="28"/>
          <w:lang w:val="uk-UA"/>
        </w:rPr>
        <w:t>з яким укладено договір про здійснення розрахунково-касового обслуговування</w:t>
      </w:r>
      <w:r w:rsidRPr="00273114">
        <w:rPr>
          <w:sz w:val="28"/>
          <w:szCs w:val="28"/>
          <w:lang w:val="uk-UA"/>
        </w:rPr>
        <w:t xml:space="preserve"> </w:t>
      </w:r>
      <w:r>
        <w:rPr>
          <w:sz w:val="28"/>
          <w:szCs w:val="28"/>
          <w:lang w:val="uk-UA"/>
        </w:rPr>
        <w:t xml:space="preserve">отримати повідомлення про початок </w:t>
      </w:r>
      <w:r>
        <w:rPr>
          <w:sz w:val="28"/>
          <w:szCs w:val="28"/>
          <w:lang w:val="uk-UA"/>
        </w:rPr>
        <w:lastRenderedPageBreak/>
        <w:t xml:space="preserve">роботи у </w:t>
      </w:r>
      <w:r w:rsidRPr="00273114">
        <w:rPr>
          <w:sz w:val="28"/>
          <w:szCs w:val="28"/>
          <w:lang w:val="uk-UA"/>
        </w:rPr>
        <w:t>с</w:t>
      </w:r>
      <w:r>
        <w:rPr>
          <w:sz w:val="28"/>
          <w:szCs w:val="28"/>
          <w:lang w:val="uk-UA"/>
        </w:rPr>
        <w:t>истемі</w:t>
      </w:r>
      <w:r w:rsidRPr="00273114">
        <w:rPr>
          <w:sz w:val="28"/>
          <w:szCs w:val="28"/>
          <w:lang w:val="uk-UA"/>
        </w:rPr>
        <w:t xml:space="preserve"> дистанційного обслуговування відповідно до наданих заявок про надання доступу.</w:t>
      </w:r>
    </w:p>
    <w:p w:rsidR="00A21D76" w:rsidRDefault="00A21D76" w:rsidP="00A21D76">
      <w:pPr>
        <w:tabs>
          <w:tab w:val="left" w:pos="993"/>
        </w:tabs>
        <w:ind w:firstLine="709"/>
        <w:jc w:val="both"/>
        <w:rPr>
          <w:sz w:val="28"/>
          <w:szCs w:val="28"/>
          <w:lang w:val="uk-UA"/>
        </w:rPr>
      </w:pPr>
      <w:r>
        <w:rPr>
          <w:sz w:val="28"/>
          <w:szCs w:val="28"/>
          <w:lang w:val="uk-UA"/>
        </w:rPr>
        <w:t xml:space="preserve">Отримати повідомлення від органу Казначейства про здійснення підключення клієнта та реєстрацію його користувачів в СДО. </w:t>
      </w:r>
    </w:p>
    <w:p w:rsidR="00A21D76" w:rsidRPr="009A46A8" w:rsidRDefault="00A21D76" w:rsidP="00A21D76">
      <w:pPr>
        <w:tabs>
          <w:tab w:val="left" w:pos="993"/>
        </w:tabs>
        <w:ind w:firstLine="709"/>
        <w:jc w:val="both"/>
        <w:rPr>
          <w:b/>
          <w:bCs/>
          <w:color w:val="000000"/>
          <w:spacing w:val="-4"/>
          <w:sz w:val="28"/>
          <w:szCs w:val="28"/>
          <w:lang w:val="uk-UA"/>
        </w:rPr>
      </w:pPr>
      <w:r>
        <w:rPr>
          <w:sz w:val="28"/>
          <w:szCs w:val="28"/>
          <w:lang w:val="uk-UA"/>
        </w:rPr>
        <w:t>З робочого місця користувача, налаштованого відповідно до пункту 4, встановити захищену сесію, з</w:t>
      </w:r>
      <w:r w:rsidRPr="00AF2484">
        <w:rPr>
          <w:sz w:val="28"/>
          <w:szCs w:val="28"/>
          <w:lang w:val="uk-UA"/>
        </w:rPr>
        <w:t>апустити переглядач Веб-сторінок (браузер), ввести адресу:</w:t>
      </w:r>
      <w:r>
        <w:rPr>
          <w:sz w:val="28"/>
          <w:szCs w:val="28"/>
          <w:lang w:val="uk-UA"/>
        </w:rPr>
        <w:t xml:space="preserve"> </w:t>
      </w:r>
      <w:hyperlink r:id="rId14" w:history="1">
        <w:r w:rsidRPr="004843B8">
          <w:rPr>
            <w:sz w:val="28"/>
          </w:rPr>
          <w:t>https</w:t>
        </w:r>
        <w:r w:rsidRPr="00F0367C">
          <w:rPr>
            <w:sz w:val="28"/>
            <w:lang w:val="uk-UA"/>
          </w:rPr>
          <w:t>://</w:t>
        </w:r>
        <w:r w:rsidRPr="004843B8">
          <w:rPr>
            <w:sz w:val="28"/>
          </w:rPr>
          <w:t>sdo</w:t>
        </w:r>
        <w:r w:rsidRPr="00F0367C">
          <w:rPr>
            <w:sz w:val="28"/>
            <w:lang w:val="uk-UA"/>
          </w:rPr>
          <w:t>.</w:t>
        </w:r>
        <w:r w:rsidRPr="004843B8">
          <w:rPr>
            <w:sz w:val="28"/>
          </w:rPr>
          <w:t>treasury</w:t>
        </w:r>
        <w:r w:rsidRPr="00F0367C">
          <w:rPr>
            <w:sz w:val="28"/>
            <w:lang w:val="uk-UA"/>
          </w:rPr>
          <w:t>.</w:t>
        </w:r>
        <w:r w:rsidRPr="004843B8">
          <w:rPr>
            <w:sz w:val="28"/>
          </w:rPr>
          <w:t>gov</w:t>
        </w:r>
        <w:r w:rsidRPr="00F0367C">
          <w:rPr>
            <w:sz w:val="28"/>
            <w:lang w:val="uk-UA"/>
          </w:rPr>
          <w:t>.</w:t>
        </w:r>
        <w:proofErr w:type="spellStart"/>
        <w:r w:rsidRPr="004843B8">
          <w:rPr>
            <w:sz w:val="28"/>
          </w:rPr>
          <w:t>ua</w:t>
        </w:r>
        <w:proofErr w:type="spellEnd"/>
      </w:hyperlink>
      <w:r>
        <w:rPr>
          <w:sz w:val="28"/>
          <w:szCs w:val="28"/>
          <w:lang w:val="uk-UA"/>
        </w:rPr>
        <w:t xml:space="preserve"> </w:t>
      </w:r>
      <w:r w:rsidRPr="00AF2484">
        <w:rPr>
          <w:sz w:val="28"/>
          <w:szCs w:val="28"/>
          <w:lang w:val="uk-UA"/>
        </w:rPr>
        <w:t>та здійснити вхід до системи з використанням захищеного носія ключової інформації.</w:t>
      </w:r>
    </w:p>
    <w:p w:rsidR="00745E35" w:rsidRDefault="00745E35" w:rsidP="00745E35">
      <w:pPr>
        <w:ind w:firstLine="709"/>
        <w:jc w:val="both"/>
        <w:rPr>
          <w:b/>
          <w:bCs/>
          <w:color w:val="000000"/>
          <w:spacing w:val="-4"/>
          <w:sz w:val="28"/>
          <w:szCs w:val="28"/>
          <w:lang w:val="uk-UA"/>
        </w:rPr>
      </w:pPr>
    </w:p>
    <w:p w:rsidR="00AF2484" w:rsidRDefault="00745E35" w:rsidP="00745E35">
      <w:pPr>
        <w:jc w:val="center"/>
        <w:rPr>
          <w:sz w:val="28"/>
          <w:szCs w:val="28"/>
          <w:lang w:val="uk-UA"/>
        </w:rPr>
      </w:pPr>
      <w:r w:rsidRPr="009A46A8">
        <w:rPr>
          <w:lang w:val="uk-UA"/>
        </w:rPr>
        <w:object w:dxaOrig="2595" w:dyaOrig="2535">
          <v:shape id="_x0000_i1028" type="#_x0000_t75" style="width:99.65pt;height:89.6pt" o:ole="">
            <v:imagedata r:id="rId15" o:title=""/>
          </v:shape>
          <o:OLEObject Type="Embed" ProgID="PBrush" ShapeID="_x0000_i1028" DrawAspect="Content" ObjectID="_1711369093" r:id="rId16"/>
        </w:object>
      </w:r>
    </w:p>
    <w:sectPr w:rsidR="00AF2484" w:rsidSect="006D3177">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CF7"/>
    <w:multiLevelType w:val="hybridMultilevel"/>
    <w:tmpl w:val="14CA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05578"/>
    <w:multiLevelType w:val="hybridMultilevel"/>
    <w:tmpl w:val="6FEE9C84"/>
    <w:lvl w:ilvl="0" w:tplc="305C8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DB18E7"/>
    <w:multiLevelType w:val="hybridMultilevel"/>
    <w:tmpl w:val="C5281768"/>
    <w:lvl w:ilvl="0" w:tplc="5CF49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17F97"/>
    <w:multiLevelType w:val="hybridMultilevel"/>
    <w:tmpl w:val="0E4AA5FC"/>
    <w:lvl w:ilvl="0" w:tplc="EFC88E78">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79BE3A9C"/>
    <w:multiLevelType w:val="hybridMultilevel"/>
    <w:tmpl w:val="6B7AA6F6"/>
    <w:lvl w:ilvl="0" w:tplc="F9362254">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compatSetting w:name="compatibilityMode" w:uri="http://schemas.microsoft.com/office/word" w:val="12"/>
  </w:compat>
  <w:rsids>
    <w:rsidRoot w:val="00476490"/>
    <w:rsid w:val="00036A3A"/>
    <w:rsid w:val="000405F0"/>
    <w:rsid w:val="000A4FCE"/>
    <w:rsid w:val="000C6069"/>
    <w:rsid w:val="000D444F"/>
    <w:rsid w:val="00154682"/>
    <w:rsid w:val="001603A9"/>
    <w:rsid w:val="00165761"/>
    <w:rsid w:val="001738E6"/>
    <w:rsid w:val="001B0DA6"/>
    <w:rsid w:val="001C2CB3"/>
    <w:rsid w:val="001D4990"/>
    <w:rsid w:val="001D52EF"/>
    <w:rsid w:val="001E6A2C"/>
    <w:rsid w:val="001F0426"/>
    <w:rsid w:val="00200D10"/>
    <w:rsid w:val="002075C6"/>
    <w:rsid w:val="00212603"/>
    <w:rsid w:val="00220648"/>
    <w:rsid w:val="00260F4B"/>
    <w:rsid w:val="00264BC5"/>
    <w:rsid w:val="002B0EF1"/>
    <w:rsid w:val="002C065D"/>
    <w:rsid w:val="002C0A97"/>
    <w:rsid w:val="002C12B4"/>
    <w:rsid w:val="002E0E31"/>
    <w:rsid w:val="00331592"/>
    <w:rsid w:val="0034025C"/>
    <w:rsid w:val="00347FDE"/>
    <w:rsid w:val="003666CD"/>
    <w:rsid w:val="00396FE5"/>
    <w:rsid w:val="003A399D"/>
    <w:rsid w:val="003C3C0D"/>
    <w:rsid w:val="003F7888"/>
    <w:rsid w:val="00403402"/>
    <w:rsid w:val="004228C0"/>
    <w:rsid w:val="00423483"/>
    <w:rsid w:val="00431E39"/>
    <w:rsid w:val="00436627"/>
    <w:rsid w:val="004673AE"/>
    <w:rsid w:val="00475CB5"/>
    <w:rsid w:val="00476490"/>
    <w:rsid w:val="004843B8"/>
    <w:rsid w:val="004A14FF"/>
    <w:rsid w:val="00546347"/>
    <w:rsid w:val="005468FB"/>
    <w:rsid w:val="00557D85"/>
    <w:rsid w:val="005613FB"/>
    <w:rsid w:val="00562484"/>
    <w:rsid w:val="0056695E"/>
    <w:rsid w:val="00580FA7"/>
    <w:rsid w:val="005D23E4"/>
    <w:rsid w:val="005E067B"/>
    <w:rsid w:val="005E0C21"/>
    <w:rsid w:val="005E415B"/>
    <w:rsid w:val="00637AEF"/>
    <w:rsid w:val="006705B3"/>
    <w:rsid w:val="006749AA"/>
    <w:rsid w:val="006B1146"/>
    <w:rsid w:val="006C79E3"/>
    <w:rsid w:val="006D3177"/>
    <w:rsid w:val="00745E35"/>
    <w:rsid w:val="0077684F"/>
    <w:rsid w:val="00781E35"/>
    <w:rsid w:val="007A42D9"/>
    <w:rsid w:val="007A5A9A"/>
    <w:rsid w:val="007B5DC4"/>
    <w:rsid w:val="007E3981"/>
    <w:rsid w:val="007F2CE1"/>
    <w:rsid w:val="00820CCC"/>
    <w:rsid w:val="008D308A"/>
    <w:rsid w:val="008E2F3A"/>
    <w:rsid w:val="00901511"/>
    <w:rsid w:val="00946361"/>
    <w:rsid w:val="009508AF"/>
    <w:rsid w:val="00961AC2"/>
    <w:rsid w:val="00977483"/>
    <w:rsid w:val="00977F22"/>
    <w:rsid w:val="009A46A8"/>
    <w:rsid w:val="009B3B73"/>
    <w:rsid w:val="009E61C0"/>
    <w:rsid w:val="009F0BA2"/>
    <w:rsid w:val="00A03739"/>
    <w:rsid w:val="00A21D76"/>
    <w:rsid w:val="00A573D4"/>
    <w:rsid w:val="00A91E66"/>
    <w:rsid w:val="00AB2A2D"/>
    <w:rsid w:val="00AC5A44"/>
    <w:rsid w:val="00AF2484"/>
    <w:rsid w:val="00AF5B0E"/>
    <w:rsid w:val="00B12439"/>
    <w:rsid w:val="00B15856"/>
    <w:rsid w:val="00B46440"/>
    <w:rsid w:val="00B47041"/>
    <w:rsid w:val="00B4732B"/>
    <w:rsid w:val="00B56DD7"/>
    <w:rsid w:val="00B60311"/>
    <w:rsid w:val="00C222DD"/>
    <w:rsid w:val="00C22471"/>
    <w:rsid w:val="00C629BE"/>
    <w:rsid w:val="00CA3FAB"/>
    <w:rsid w:val="00CC7412"/>
    <w:rsid w:val="00D01B40"/>
    <w:rsid w:val="00D03BA5"/>
    <w:rsid w:val="00D1138F"/>
    <w:rsid w:val="00D627F5"/>
    <w:rsid w:val="00D634A4"/>
    <w:rsid w:val="00D918D8"/>
    <w:rsid w:val="00D955B7"/>
    <w:rsid w:val="00DB53B0"/>
    <w:rsid w:val="00E72BCD"/>
    <w:rsid w:val="00E8617B"/>
    <w:rsid w:val="00EF362E"/>
    <w:rsid w:val="00F0367C"/>
    <w:rsid w:val="00F06A65"/>
    <w:rsid w:val="00F80994"/>
    <w:rsid w:val="00F93BD4"/>
    <w:rsid w:val="00F94076"/>
    <w:rsid w:val="00FD3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6004C0"/>
  <w15:docId w15:val="{12C0B42C-4DA7-4506-848C-A7BF55D2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90"/>
    <w:pPr>
      <w:spacing w:after="0" w:line="240" w:lineRule="auto"/>
    </w:pPr>
    <w:rPr>
      <w:rFonts w:ascii="Times New Roman" w:eastAsia="Times New Roman" w:hAnsi="Times New Roman" w:cs="Times New Roman"/>
      <w:sz w:val="24"/>
      <w:szCs w:val="24"/>
      <w:lang w:eastAsia="ru-RU"/>
    </w:rPr>
  </w:style>
  <w:style w:type="paragraph" w:styleId="3">
    <w:name w:val="heading 3"/>
    <w:aliases w:val="Heading 3"/>
    <w:basedOn w:val="a"/>
    <w:next w:val="a"/>
    <w:link w:val="30"/>
    <w:qFormat/>
    <w:rsid w:val="00476490"/>
    <w:pPr>
      <w:keepNex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6490"/>
    <w:pPr>
      <w:spacing w:before="360"/>
      <w:jc w:val="both"/>
    </w:pPr>
    <w:rPr>
      <w:sz w:val="28"/>
      <w:lang w:val="uk-UA"/>
    </w:rPr>
  </w:style>
  <w:style w:type="character" w:customStyle="1" w:styleId="a4">
    <w:name w:val="Основной текст Знак"/>
    <w:basedOn w:val="a0"/>
    <w:link w:val="a3"/>
    <w:rsid w:val="00476490"/>
    <w:rPr>
      <w:rFonts w:ascii="Times New Roman" w:eastAsia="Times New Roman" w:hAnsi="Times New Roman" w:cs="Times New Roman"/>
      <w:sz w:val="28"/>
      <w:szCs w:val="24"/>
      <w:lang w:val="uk-UA" w:eastAsia="ru-RU"/>
    </w:rPr>
  </w:style>
  <w:style w:type="paragraph" w:styleId="a5">
    <w:name w:val="List Paragraph"/>
    <w:basedOn w:val="a"/>
    <w:uiPriority w:val="99"/>
    <w:qFormat/>
    <w:rsid w:val="00476490"/>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30">
    <w:name w:val="Заголовок 3 Знак"/>
    <w:aliases w:val="Heading 3 Знак"/>
    <w:basedOn w:val="a0"/>
    <w:link w:val="3"/>
    <w:rsid w:val="00476490"/>
    <w:rPr>
      <w:rFonts w:ascii="Times New Roman" w:eastAsia="Times New Roman" w:hAnsi="Times New Roman" w:cs="Times New Roman"/>
      <w:sz w:val="28"/>
      <w:szCs w:val="24"/>
      <w:lang w:val="uk-UA" w:eastAsia="ru-RU"/>
    </w:rPr>
  </w:style>
  <w:style w:type="character" w:styleId="a6">
    <w:name w:val="Hyperlink"/>
    <w:basedOn w:val="a0"/>
    <w:uiPriority w:val="99"/>
    <w:unhideWhenUsed/>
    <w:rsid w:val="00AF2484"/>
    <w:rPr>
      <w:color w:val="0000FF" w:themeColor="hyperlink"/>
      <w:u w:val="single"/>
    </w:rPr>
  </w:style>
  <w:style w:type="table" w:styleId="a7">
    <w:name w:val="Table Grid"/>
    <w:basedOn w:val="a1"/>
    <w:uiPriority w:val="59"/>
    <w:rsid w:val="00580F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367C"/>
    <w:rPr>
      <w:rFonts w:ascii="Tahoma" w:hAnsi="Tahoma" w:cs="Tahoma"/>
      <w:sz w:val="16"/>
      <w:szCs w:val="16"/>
    </w:rPr>
  </w:style>
  <w:style w:type="character" w:customStyle="1" w:styleId="a9">
    <w:name w:val="Текст выноски Знак"/>
    <w:basedOn w:val="a0"/>
    <w:link w:val="a8"/>
    <w:uiPriority w:val="99"/>
    <w:semiHidden/>
    <w:rsid w:val="00F0367C"/>
    <w:rPr>
      <w:rFonts w:ascii="Tahoma" w:eastAsia="Times New Roman" w:hAnsi="Tahoma" w:cs="Tahoma"/>
      <w:sz w:val="16"/>
      <w:szCs w:val="16"/>
      <w:lang w:eastAsia="ru-RU"/>
    </w:rPr>
  </w:style>
  <w:style w:type="paragraph" w:styleId="aa">
    <w:name w:val="footnote text"/>
    <w:basedOn w:val="a"/>
    <w:link w:val="ab"/>
    <w:unhideWhenUsed/>
    <w:rsid w:val="00FD320D"/>
    <w:rPr>
      <w:rFonts w:eastAsia="Calibri"/>
      <w:sz w:val="20"/>
      <w:szCs w:val="20"/>
    </w:rPr>
  </w:style>
  <w:style w:type="character" w:customStyle="1" w:styleId="ab">
    <w:name w:val="Текст сноски Знак"/>
    <w:basedOn w:val="a0"/>
    <w:link w:val="aa"/>
    <w:rsid w:val="00FD320D"/>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do.treasur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7573</Words>
  <Characters>4318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2800-melnichykv</dc:creator>
  <cp:lastModifiedBy>Качановська Тетяна Олександрівна</cp:lastModifiedBy>
  <cp:revision>7</cp:revision>
  <dcterms:created xsi:type="dcterms:W3CDTF">2022-01-24T13:21:00Z</dcterms:created>
  <dcterms:modified xsi:type="dcterms:W3CDTF">2022-04-13T12:32:00Z</dcterms:modified>
</cp:coreProperties>
</file>